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1603A" w14:textId="120CB97C" w:rsidR="00CA685C" w:rsidRDefault="00386D02" w:rsidP="00274437">
      <w:pPr>
        <w:rPr>
          <w:rFonts w:ascii="Arial" w:hAnsi="Arial" w:cs="Arial"/>
          <w:sz w:val="20"/>
          <w:szCs w:val="20"/>
        </w:rPr>
      </w:pPr>
      <w:r>
        <w:rPr>
          <w:rFonts w:ascii="Arial" w:hAnsi="Arial" w:cs="Arial"/>
          <w:noProof/>
          <w:sz w:val="20"/>
          <w:szCs w:val="20"/>
        </w:rPr>
        <w:drawing>
          <wp:inline distT="0" distB="0" distL="0" distR="0" wp14:anchorId="0D348984" wp14:editId="0786430C">
            <wp:extent cx="5943600" cy="7691755"/>
            <wp:effectExtent l="0" t="0" r="0" b="444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BDA944E" w14:textId="77777777" w:rsidR="00CA685C" w:rsidRDefault="00CA685C" w:rsidP="00274437">
      <w:pPr>
        <w:rPr>
          <w:rFonts w:ascii="Arial" w:hAnsi="Arial" w:cs="Arial"/>
          <w:sz w:val="20"/>
          <w:szCs w:val="20"/>
        </w:rPr>
      </w:pPr>
    </w:p>
    <w:p w14:paraId="4D0C17AE" w14:textId="77777777" w:rsidR="00CA685C" w:rsidRDefault="00CA685C" w:rsidP="00274437">
      <w:pPr>
        <w:rPr>
          <w:rFonts w:ascii="Arial" w:hAnsi="Arial" w:cs="Arial"/>
          <w:sz w:val="20"/>
          <w:szCs w:val="20"/>
        </w:rPr>
      </w:pPr>
    </w:p>
    <w:sdt>
      <w:sdtPr>
        <w:rPr>
          <w:rFonts w:ascii="Arial Nova Light" w:eastAsiaTheme="minorHAnsi" w:hAnsi="Arial Nova Light" w:cstheme="minorBidi"/>
          <w:color w:val="auto"/>
          <w:sz w:val="22"/>
          <w:szCs w:val="22"/>
        </w:rPr>
        <w:id w:val="-1004894415"/>
        <w:docPartObj>
          <w:docPartGallery w:val="Table of Contents"/>
          <w:docPartUnique/>
        </w:docPartObj>
      </w:sdtPr>
      <w:sdtEndPr>
        <w:rPr>
          <w:b/>
          <w:bCs/>
          <w:noProof/>
        </w:rPr>
      </w:sdtEndPr>
      <w:sdtContent>
        <w:p w14:paraId="558F5787" w14:textId="4E3ABA64" w:rsidR="00B52FF6" w:rsidRPr="00B52FF6" w:rsidRDefault="00B52FF6">
          <w:pPr>
            <w:pStyle w:val="TOCHeading"/>
            <w:rPr>
              <w:rFonts w:ascii="Arial Nova" w:hAnsi="Arial Nova"/>
              <w:b/>
              <w:bCs/>
              <w:color w:val="0A4990"/>
              <w:sz w:val="40"/>
              <w:szCs w:val="40"/>
            </w:rPr>
          </w:pPr>
          <w:r w:rsidRPr="00B52FF6">
            <w:rPr>
              <w:rFonts w:ascii="Arial Nova" w:hAnsi="Arial Nova"/>
              <w:b/>
              <w:bCs/>
              <w:color w:val="0A4990"/>
              <w:sz w:val="40"/>
              <w:szCs w:val="40"/>
            </w:rPr>
            <w:t>Table of Contents</w:t>
          </w:r>
        </w:p>
        <w:p w14:paraId="3E0D6758" w14:textId="77777777" w:rsidR="00B52FF6" w:rsidRPr="00B52FF6" w:rsidRDefault="00B52FF6" w:rsidP="00B52FF6"/>
        <w:p w14:paraId="09BE3D1F" w14:textId="585815A1" w:rsidR="00B52FF6" w:rsidRDefault="00B52FF6">
          <w:pPr>
            <w:pStyle w:val="TOC1"/>
            <w:tabs>
              <w:tab w:val="right" w:leader="dot" w:pos="9350"/>
            </w:tabs>
            <w:rPr>
              <w:rFonts w:asciiTheme="minorHAnsi" w:eastAsiaTheme="minorEastAsia" w:hAnsiTheme="minorHAnsi"/>
              <w:noProof/>
            </w:rPr>
          </w:pPr>
          <w:r>
            <w:fldChar w:fldCharType="begin"/>
          </w:r>
          <w:r>
            <w:instrText xml:space="preserve"> TOC \h \z \t "GMI Heading 1,1,GMI Heading 2,2,GMI Heading 3,3" </w:instrText>
          </w:r>
          <w:r>
            <w:fldChar w:fldCharType="separate"/>
          </w:r>
          <w:hyperlink w:anchor="_Toc82090365" w:history="1">
            <w:r w:rsidRPr="00701187">
              <w:rPr>
                <w:rStyle w:val="Hyperlink"/>
                <w:noProof/>
              </w:rPr>
              <w:t>1 Overview</w:t>
            </w:r>
            <w:r>
              <w:rPr>
                <w:noProof/>
                <w:webHidden/>
              </w:rPr>
              <w:tab/>
            </w:r>
            <w:r>
              <w:rPr>
                <w:noProof/>
                <w:webHidden/>
              </w:rPr>
              <w:fldChar w:fldCharType="begin"/>
            </w:r>
            <w:r>
              <w:rPr>
                <w:noProof/>
                <w:webHidden/>
              </w:rPr>
              <w:instrText xml:space="preserve"> PAGEREF _Toc82090365 \h </w:instrText>
            </w:r>
            <w:r>
              <w:rPr>
                <w:noProof/>
                <w:webHidden/>
              </w:rPr>
            </w:r>
            <w:r>
              <w:rPr>
                <w:noProof/>
                <w:webHidden/>
              </w:rPr>
              <w:fldChar w:fldCharType="separate"/>
            </w:r>
            <w:r>
              <w:rPr>
                <w:noProof/>
                <w:webHidden/>
              </w:rPr>
              <w:t>4</w:t>
            </w:r>
            <w:r>
              <w:rPr>
                <w:noProof/>
                <w:webHidden/>
              </w:rPr>
              <w:fldChar w:fldCharType="end"/>
            </w:r>
          </w:hyperlink>
        </w:p>
        <w:p w14:paraId="623B76F2" w14:textId="1A32DB10" w:rsidR="00B52FF6" w:rsidRDefault="004A772F">
          <w:pPr>
            <w:pStyle w:val="TOC2"/>
            <w:tabs>
              <w:tab w:val="right" w:leader="dot" w:pos="9350"/>
            </w:tabs>
            <w:rPr>
              <w:rFonts w:asciiTheme="minorHAnsi" w:eastAsiaTheme="minorEastAsia" w:hAnsiTheme="minorHAnsi"/>
              <w:noProof/>
            </w:rPr>
          </w:pPr>
          <w:hyperlink w:anchor="_Toc82090366" w:history="1">
            <w:r w:rsidR="00B52FF6" w:rsidRPr="00701187">
              <w:rPr>
                <w:rStyle w:val="Hyperlink"/>
                <w:noProof/>
              </w:rPr>
              <w:t>1.1 Organization of User Manual</w:t>
            </w:r>
            <w:r w:rsidR="00B52FF6">
              <w:rPr>
                <w:noProof/>
                <w:webHidden/>
              </w:rPr>
              <w:tab/>
            </w:r>
            <w:r w:rsidR="00B52FF6">
              <w:rPr>
                <w:noProof/>
                <w:webHidden/>
              </w:rPr>
              <w:fldChar w:fldCharType="begin"/>
            </w:r>
            <w:r w:rsidR="00B52FF6">
              <w:rPr>
                <w:noProof/>
                <w:webHidden/>
              </w:rPr>
              <w:instrText xml:space="preserve"> PAGEREF _Toc82090366 \h </w:instrText>
            </w:r>
            <w:r w:rsidR="00B52FF6">
              <w:rPr>
                <w:noProof/>
                <w:webHidden/>
              </w:rPr>
            </w:r>
            <w:r w:rsidR="00B52FF6">
              <w:rPr>
                <w:noProof/>
                <w:webHidden/>
              </w:rPr>
              <w:fldChar w:fldCharType="separate"/>
            </w:r>
            <w:r w:rsidR="00B52FF6">
              <w:rPr>
                <w:noProof/>
                <w:webHidden/>
              </w:rPr>
              <w:t>4</w:t>
            </w:r>
            <w:r w:rsidR="00B52FF6">
              <w:rPr>
                <w:noProof/>
                <w:webHidden/>
              </w:rPr>
              <w:fldChar w:fldCharType="end"/>
            </w:r>
          </w:hyperlink>
        </w:p>
        <w:p w14:paraId="1E4F13F5" w14:textId="0700B6AE" w:rsidR="00B52FF6" w:rsidRDefault="004A772F">
          <w:pPr>
            <w:pStyle w:val="TOC2"/>
            <w:tabs>
              <w:tab w:val="right" w:leader="dot" w:pos="9350"/>
            </w:tabs>
            <w:rPr>
              <w:rFonts w:asciiTheme="minorHAnsi" w:eastAsiaTheme="minorEastAsia" w:hAnsiTheme="minorHAnsi"/>
              <w:noProof/>
            </w:rPr>
          </w:pPr>
          <w:hyperlink w:anchor="_Toc82090367" w:history="1">
            <w:r w:rsidR="00B52FF6" w:rsidRPr="00701187">
              <w:rPr>
                <w:rStyle w:val="Hyperlink"/>
                <w:noProof/>
              </w:rPr>
              <w:t>1.2 Organization of Spreadsheet Tools</w:t>
            </w:r>
            <w:r w:rsidR="00B52FF6">
              <w:rPr>
                <w:noProof/>
                <w:webHidden/>
              </w:rPr>
              <w:tab/>
            </w:r>
            <w:r w:rsidR="00B52FF6">
              <w:rPr>
                <w:noProof/>
                <w:webHidden/>
              </w:rPr>
              <w:fldChar w:fldCharType="begin"/>
            </w:r>
            <w:r w:rsidR="00B52FF6">
              <w:rPr>
                <w:noProof/>
                <w:webHidden/>
              </w:rPr>
              <w:instrText xml:space="preserve"> PAGEREF _Toc82090367 \h </w:instrText>
            </w:r>
            <w:r w:rsidR="00B52FF6">
              <w:rPr>
                <w:noProof/>
                <w:webHidden/>
              </w:rPr>
            </w:r>
            <w:r w:rsidR="00B52FF6">
              <w:rPr>
                <w:noProof/>
                <w:webHidden/>
              </w:rPr>
              <w:fldChar w:fldCharType="separate"/>
            </w:r>
            <w:r w:rsidR="00B52FF6">
              <w:rPr>
                <w:noProof/>
                <w:webHidden/>
              </w:rPr>
              <w:t>4</w:t>
            </w:r>
            <w:r w:rsidR="00B52FF6">
              <w:rPr>
                <w:noProof/>
                <w:webHidden/>
              </w:rPr>
              <w:fldChar w:fldCharType="end"/>
            </w:r>
          </w:hyperlink>
        </w:p>
        <w:p w14:paraId="5ABD6303" w14:textId="49DD0B0C" w:rsidR="00B52FF6" w:rsidRDefault="004A772F">
          <w:pPr>
            <w:pStyle w:val="TOC2"/>
            <w:tabs>
              <w:tab w:val="right" w:leader="dot" w:pos="9350"/>
            </w:tabs>
            <w:rPr>
              <w:rFonts w:asciiTheme="minorHAnsi" w:eastAsiaTheme="minorEastAsia" w:hAnsiTheme="minorHAnsi"/>
              <w:noProof/>
            </w:rPr>
          </w:pPr>
          <w:hyperlink w:anchor="_Toc82090368" w:history="1">
            <w:r w:rsidR="00B52FF6" w:rsidRPr="00701187">
              <w:rPr>
                <w:rStyle w:val="Hyperlink"/>
                <w:noProof/>
              </w:rPr>
              <w:t>1.3 Entering Data</w:t>
            </w:r>
            <w:r w:rsidR="00B52FF6">
              <w:rPr>
                <w:noProof/>
                <w:webHidden/>
              </w:rPr>
              <w:tab/>
            </w:r>
            <w:r w:rsidR="00B52FF6">
              <w:rPr>
                <w:noProof/>
                <w:webHidden/>
              </w:rPr>
              <w:fldChar w:fldCharType="begin"/>
            </w:r>
            <w:r w:rsidR="00B52FF6">
              <w:rPr>
                <w:noProof/>
                <w:webHidden/>
              </w:rPr>
              <w:instrText xml:space="preserve"> PAGEREF _Toc82090368 \h </w:instrText>
            </w:r>
            <w:r w:rsidR="00B52FF6">
              <w:rPr>
                <w:noProof/>
                <w:webHidden/>
              </w:rPr>
            </w:r>
            <w:r w:rsidR="00B52FF6">
              <w:rPr>
                <w:noProof/>
                <w:webHidden/>
              </w:rPr>
              <w:fldChar w:fldCharType="separate"/>
            </w:r>
            <w:r w:rsidR="00B52FF6">
              <w:rPr>
                <w:noProof/>
                <w:webHidden/>
              </w:rPr>
              <w:t>6</w:t>
            </w:r>
            <w:r w:rsidR="00B52FF6">
              <w:rPr>
                <w:noProof/>
                <w:webHidden/>
              </w:rPr>
              <w:fldChar w:fldCharType="end"/>
            </w:r>
          </w:hyperlink>
        </w:p>
        <w:p w14:paraId="2E8C4F18" w14:textId="558D2F49" w:rsidR="00B52FF6" w:rsidRDefault="004A772F">
          <w:pPr>
            <w:pStyle w:val="TOC2"/>
            <w:tabs>
              <w:tab w:val="right" w:leader="dot" w:pos="9350"/>
            </w:tabs>
            <w:rPr>
              <w:rFonts w:asciiTheme="minorHAnsi" w:eastAsiaTheme="minorEastAsia" w:hAnsiTheme="minorHAnsi"/>
              <w:noProof/>
            </w:rPr>
          </w:pPr>
          <w:hyperlink w:anchor="_Toc82090369" w:history="1">
            <w:r w:rsidR="00B52FF6" w:rsidRPr="00701187">
              <w:rPr>
                <w:rStyle w:val="Hyperlink"/>
                <w:noProof/>
              </w:rPr>
              <w:t>1.4 Definitions</w:t>
            </w:r>
            <w:r w:rsidR="00B52FF6">
              <w:rPr>
                <w:noProof/>
                <w:webHidden/>
              </w:rPr>
              <w:tab/>
            </w:r>
            <w:r w:rsidR="00B52FF6">
              <w:rPr>
                <w:noProof/>
                <w:webHidden/>
              </w:rPr>
              <w:fldChar w:fldCharType="begin"/>
            </w:r>
            <w:r w:rsidR="00B52FF6">
              <w:rPr>
                <w:noProof/>
                <w:webHidden/>
              </w:rPr>
              <w:instrText xml:space="preserve"> PAGEREF _Toc82090369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57C31FDD" w14:textId="24638D47" w:rsidR="00B52FF6" w:rsidRDefault="004A772F">
          <w:pPr>
            <w:pStyle w:val="TOC3"/>
            <w:tabs>
              <w:tab w:val="right" w:leader="dot" w:pos="9350"/>
            </w:tabs>
            <w:rPr>
              <w:rFonts w:asciiTheme="minorHAnsi" w:eastAsiaTheme="minorEastAsia" w:hAnsiTheme="minorHAnsi"/>
              <w:noProof/>
            </w:rPr>
          </w:pPr>
          <w:hyperlink w:anchor="_Toc82090370" w:history="1">
            <w:r w:rsidR="00B52FF6" w:rsidRPr="00701187">
              <w:rPr>
                <w:rStyle w:val="Hyperlink"/>
                <w:noProof/>
              </w:rPr>
              <w:t>1.1.1 Organics Waste Management Terms</w:t>
            </w:r>
            <w:r w:rsidR="00B52FF6">
              <w:rPr>
                <w:noProof/>
                <w:webHidden/>
              </w:rPr>
              <w:tab/>
            </w:r>
            <w:r w:rsidR="00B52FF6">
              <w:rPr>
                <w:noProof/>
                <w:webHidden/>
              </w:rPr>
              <w:fldChar w:fldCharType="begin"/>
            </w:r>
            <w:r w:rsidR="00B52FF6">
              <w:rPr>
                <w:noProof/>
                <w:webHidden/>
              </w:rPr>
              <w:instrText xml:space="preserve"> PAGEREF _Toc82090370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73AA3A72" w14:textId="3267DBD5" w:rsidR="00B52FF6" w:rsidRDefault="004A772F">
          <w:pPr>
            <w:pStyle w:val="TOC3"/>
            <w:tabs>
              <w:tab w:val="right" w:leader="dot" w:pos="9350"/>
            </w:tabs>
            <w:rPr>
              <w:rFonts w:asciiTheme="minorHAnsi" w:eastAsiaTheme="minorEastAsia" w:hAnsiTheme="minorHAnsi"/>
              <w:noProof/>
            </w:rPr>
          </w:pPr>
          <w:hyperlink w:anchor="_Toc82090371" w:history="1">
            <w:r w:rsidR="00B52FF6" w:rsidRPr="00701187">
              <w:rPr>
                <w:rStyle w:val="Hyperlink"/>
                <w:noProof/>
              </w:rPr>
              <w:t>1.1.2 Financial Terms</w:t>
            </w:r>
            <w:r w:rsidR="00B52FF6">
              <w:rPr>
                <w:noProof/>
                <w:webHidden/>
              </w:rPr>
              <w:tab/>
            </w:r>
            <w:r w:rsidR="00B52FF6">
              <w:rPr>
                <w:noProof/>
                <w:webHidden/>
              </w:rPr>
              <w:fldChar w:fldCharType="begin"/>
            </w:r>
            <w:r w:rsidR="00B52FF6">
              <w:rPr>
                <w:noProof/>
                <w:webHidden/>
              </w:rPr>
              <w:instrText xml:space="preserve"> PAGEREF _Toc82090371 \h </w:instrText>
            </w:r>
            <w:r w:rsidR="00B52FF6">
              <w:rPr>
                <w:noProof/>
                <w:webHidden/>
              </w:rPr>
            </w:r>
            <w:r w:rsidR="00B52FF6">
              <w:rPr>
                <w:noProof/>
                <w:webHidden/>
              </w:rPr>
              <w:fldChar w:fldCharType="separate"/>
            </w:r>
            <w:r w:rsidR="00B52FF6">
              <w:rPr>
                <w:noProof/>
                <w:webHidden/>
              </w:rPr>
              <w:t>7</w:t>
            </w:r>
            <w:r w:rsidR="00B52FF6">
              <w:rPr>
                <w:noProof/>
                <w:webHidden/>
              </w:rPr>
              <w:fldChar w:fldCharType="end"/>
            </w:r>
          </w:hyperlink>
        </w:p>
        <w:p w14:paraId="64912D75" w14:textId="06C13EEF" w:rsidR="00B52FF6" w:rsidRDefault="004A772F">
          <w:pPr>
            <w:pStyle w:val="TOC1"/>
            <w:tabs>
              <w:tab w:val="right" w:leader="dot" w:pos="9350"/>
            </w:tabs>
            <w:rPr>
              <w:rFonts w:asciiTheme="minorHAnsi" w:eastAsiaTheme="minorEastAsia" w:hAnsiTheme="minorHAnsi"/>
              <w:noProof/>
            </w:rPr>
          </w:pPr>
          <w:hyperlink w:anchor="_Toc82090372" w:history="1">
            <w:r w:rsidR="00B52FF6" w:rsidRPr="00701187">
              <w:rPr>
                <w:rStyle w:val="Hyperlink"/>
                <w:noProof/>
              </w:rPr>
              <w:t>2 OrganEcs Anaerobic Digestion: Tab-by-Tab Guide</w:t>
            </w:r>
            <w:r w:rsidR="00B52FF6">
              <w:rPr>
                <w:noProof/>
                <w:webHidden/>
              </w:rPr>
              <w:tab/>
            </w:r>
            <w:r w:rsidR="00B52FF6">
              <w:rPr>
                <w:noProof/>
                <w:webHidden/>
              </w:rPr>
              <w:fldChar w:fldCharType="begin"/>
            </w:r>
            <w:r w:rsidR="00B52FF6">
              <w:rPr>
                <w:noProof/>
                <w:webHidden/>
              </w:rPr>
              <w:instrText xml:space="preserve"> PAGEREF _Toc82090372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089E00F" w14:textId="74365515" w:rsidR="00B52FF6" w:rsidRDefault="004A772F">
          <w:pPr>
            <w:pStyle w:val="TOC2"/>
            <w:tabs>
              <w:tab w:val="right" w:leader="dot" w:pos="9350"/>
            </w:tabs>
            <w:rPr>
              <w:rFonts w:asciiTheme="minorHAnsi" w:eastAsiaTheme="minorEastAsia" w:hAnsiTheme="minorHAnsi"/>
              <w:noProof/>
            </w:rPr>
          </w:pPr>
          <w:hyperlink w:anchor="_Toc82090373" w:history="1">
            <w:r w:rsidR="00B52FF6" w:rsidRPr="00701187">
              <w:rPr>
                <w:rStyle w:val="Hyperlink"/>
                <w:noProof/>
              </w:rPr>
              <w:t>2.1 Basic Tool Information (Brown Tabs)</w:t>
            </w:r>
            <w:r w:rsidR="00B52FF6">
              <w:rPr>
                <w:noProof/>
                <w:webHidden/>
              </w:rPr>
              <w:tab/>
            </w:r>
            <w:r w:rsidR="00B52FF6">
              <w:rPr>
                <w:noProof/>
                <w:webHidden/>
              </w:rPr>
              <w:fldChar w:fldCharType="begin"/>
            </w:r>
            <w:r w:rsidR="00B52FF6">
              <w:rPr>
                <w:noProof/>
                <w:webHidden/>
              </w:rPr>
              <w:instrText xml:space="preserve"> PAGEREF _Toc82090373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4657146" w14:textId="4BB182C7" w:rsidR="00B52FF6" w:rsidRDefault="004A772F">
          <w:pPr>
            <w:pStyle w:val="TOC3"/>
            <w:tabs>
              <w:tab w:val="right" w:leader="dot" w:pos="9350"/>
            </w:tabs>
            <w:rPr>
              <w:rFonts w:asciiTheme="minorHAnsi" w:eastAsiaTheme="minorEastAsia" w:hAnsiTheme="minorHAnsi"/>
              <w:noProof/>
            </w:rPr>
          </w:pPr>
          <w:hyperlink w:anchor="_Toc82090374" w:history="1">
            <w:r w:rsidR="00B52FF6" w:rsidRPr="00701187">
              <w:rPr>
                <w:rStyle w:val="Hyperlink"/>
                <w:noProof/>
              </w:rPr>
              <w:t>2.1.1 Cover</w:t>
            </w:r>
            <w:r w:rsidR="00B52FF6">
              <w:rPr>
                <w:noProof/>
                <w:webHidden/>
              </w:rPr>
              <w:tab/>
            </w:r>
            <w:r w:rsidR="00B52FF6">
              <w:rPr>
                <w:noProof/>
                <w:webHidden/>
              </w:rPr>
              <w:fldChar w:fldCharType="begin"/>
            </w:r>
            <w:r w:rsidR="00B52FF6">
              <w:rPr>
                <w:noProof/>
                <w:webHidden/>
              </w:rPr>
              <w:instrText xml:space="preserve"> PAGEREF _Toc82090374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2B74B65" w14:textId="6606B23C" w:rsidR="00B52FF6" w:rsidRDefault="004A772F">
          <w:pPr>
            <w:pStyle w:val="TOC3"/>
            <w:tabs>
              <w:tab w:val="right" w:leader="dot" w:pos="9350"/>
            </w:tabs>
            <w:rPr>
              <w:rFonts w:asciiTheme="minorHAnsi" w:eastAsiaTheme="minorEastAsia" w:hAnsiTheme="minorHAnsi"/>
              <w:noProof/>
            </w:rPr>
          </w:pPr>
          <w:hyperlink w:anchor="_Toc82090375" w:history="1">
            <w:r w:rsidR="00B52FF6" w:rsidRPr="00701187">
              <w:rPr>
                <w:rStyle w:val="Hyperlink"/>
                <w:noProof/>
              </w:rPr>
              <w:t>2.1.2 Title</w:t>
            </w:r>
            <w:r w:rsidR="00B52FF6">
              <w:rPr>
                <w:noProof/>
                <w:webHidden/>
              </w:rPr>
              <w:tab/>
            </w:r>
            <w:r w:rsidR="00B52FF6">
              <w:rPr>
                <w:noProof/>
                <w:webHidden/>
              </w:rPr>
              <w:fldChar w:fldCharType="begin"/>
            </w:r>
            <w:r w:rsidR="00B52FF6">
              <w:rPr>
                <w:noProof/>
                <w:webHidden/>
              </w:rPr>
              <w:instrText xml:space="preserve"> PAGEREF _Toc82090375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CD427AD" w14:textId="29723D20" w:rsidR="00B52FF6" w:rsidRDefault="004A772F">
          <w:pPr>
            <w:pStyle w:val="TOC3"/>
            <w:tabs>
              <w:tab w:val="right" w:leader="dot" w:pos="9350"/>
            </w:tabs>
            <w:rPr>
              <w:rFonts w:asciiTheme="minorHAnsi" w:eastAsiaTheme="minorEastAsia" w:hAnsiTheme="minorHAnsi"/>
              <w:noProof/>
            </w:rPr>
          </w:pPr>
          <w:hyperlink w:anchor="_Toc82090376" w:history="1">
            <w:r w:rsidR="00B52FF6" w:rsidRPr="00701187">
              <w:rPr>
                <w:rStyle w:val="Hyperlink"/>
                <w:noProof/>
              </w:rPr>
              <w:t>2.1.3 Contents</w:t>
            </w:r>
            <w:r w:rsidR="00B52FF6">
              <w:rPr>
                <w:noProof/>
                <w:webHidden/>
              </w:rPr>
              <w:tab/>
            </w:r>
            <w:r w:rsidR="00B52FF6">
              <w:rPr>
                <w:noProof/>
                <w:webHidden/>
              </w:rPr>
              <w:fldChar w:fldCharType="begin"/>
            </w:r>
            <w:r w:rsidR="00B52FF6">
              <w:rPr>
                <w:noProof/>
                <w:webHidden/>
              </w:rPr>
              <w:instrText xml:space="preserve"> PAGEREF _Toc82090376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202E45A" w14:textId="4122755A" w:rsidR="00B52FF6" w:rsidRDefault="004A772F">
          <w:pPr>
            <w:pStyle w:val="TOC3"/>
            <w:tabs>
              <w:tab w:val="right" w:leader="dot" w:pos="9350"/>
            </w:tabs>
            <w:rPr>
              <w:rFonts w:asciiTheme="minorHAnsi" w:eastAsiaTheme="minorEastAsia" w:hAnsiTheme="minorHAnsi"/>
              <w:noProof/>
            </w:rPr>
          </w:pPr>
          <w:hyperlink w:anchor="_Toc82090377" w:history="1">
            <w:r w:rsidR="00B52FF6" w:rsidRPr="00701187">
              <w:rPr>
                <w:rStyle w:val="Hyperlink"/>
                <w:noProof/>
              </w:rPr>
              <w:t>2.1.4 Background</w:t>
            </w:r>
            <w:r w:rsidR="00B52FF6">
              <w:rPr>
                <w:noProof/>
                <w:webHidden/>
              </w:rPr>
              <w:tab/>
            </w:r>
            <w:r w:rsidR="00B52FF6">
              <w:rPr>
                <w:noProof/>
                <w:webHidden/>
              </w:rPr>
              <w:fldChar w:fldCharType="begin"/>
            </w:r>
            <w:r w:rsidR="00B52FF6">
              <w:rPr>
                <w:noProof/>
                <w:webHidden/>
              </w:rPr>
              <w:instrText xml:space="preserve"> PAGEREF _Toc82090377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33FF15A1" w14:textId="61C4638F" w:rsidR="00B52FF6" w:rsidRDefault="004A772F">
          <w:pPr>
            <w:pStyle w:val="TOC3"/>
            <w:tabs>
              <w:tab w:val="right" w:leader="dot" w:pos="9350"/>
            </w:tabs>
            <w:rPr>
              <w:rFonts w:asciiTheme="minorHAnsi" w:eastAsiaTheme="minorEastAsia" w:hAnsiTheme="minorHAnsi"/>
              <w:noProof/>
            </w:rPr>
          </w:pPr>
          <w:hyperlink w:anchor="_Toc82090378" w:history="1">
            <w:r w:rsidR="00B52FF6" w:rsidRPr="00701187">
              <w:rPr>
                <w:rStyle w:val="Hyperlink"/>
                <w:noProof/>
              </w:rPr>
              <w:t>2.1.5 Instructions</w:t>
            </w:r>
            <w:r w:rsidR="00B52FF6">
              <w:rPr>
                <w:noProof/>
                <w:webHidden/>
              </w:rPr>
              <w:tab/>
            </w:r>
            <w:r w:rsidR="00B52FF6">
              <w:rPr>
                <w:noProof/>
                <w:webHidden/>
              </w:rPr>
              <w:fldChar w:fldCharType="begin"/>
            </w:r>
            <w:r w:rsidR="00B52FF6">
              <w:rPr>
                <w:noProof/>
                <w:webHidden/>
              </w:rPr>
              <w:instrText xml:space="preserve"> PAGEREF _Toc82090378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5BED9F86" w14:textId="44D2A2C4" w:rsidR="00B52FF6" w:rsidRDefault="004A772F">
          <w:pPr>
            <w:pStyle w:val="TOC2"/>
            <w:tabs>
              <w:tab w:val="right" w:leader="dot" w:pos="9350"/>
            </w:tabs>
            <w:rPr>
              <w:rFonts w:asciiTheme="minorHAnsi" w:eastAsiaTheme="minorEastAsia" w:hAnsiTheme="minorHAnsi"/>
              <w:noProof/>
            </w:rPr>
          </w:pPr>
          <w:hyperlink w:anchor="_Toc82090379" w:history="1">
            <w:r w:rsidR="00B52FF6" w:rsidRPr="00701187">
              <w:rPr>
                <w:rStyle w:val="Hyperlink"/>
                <w:noProof/>
              </w:rPr>
              <w:t>2.2 Data Inputs (Blue Tabs)</w:t>
            </w:r>
            <w:r w:rsidR="00B52FF6">
              <w:rPr>
                <w:noProof/>
                <w:webHidden/>
              </w:rPr>
              <w:tab/>
            </w:r>
            <w:r w:rsidR="00B52FF6">
              <w:rPr>
                <w:noProof/>
                <w:webHidden/>
              </w:rPr>
              <w:fldChar w:fldCharType="begin"/>
            </w:r>
            <w:r w:rsidR="00B52FF6">
              <w:rPr>
                <w:noProof/>
                <w:webHidden/>
              </w:rPr>
              <w:instrText xml:space="preserve"> PAGEREF _Toc82090379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460DAFF2" w14:textId="55259DAB" w:rsidR="00B52FF6" w:rsidRDefault="004A772F">
          <w:pPr>
            <w:pStyle w:val="TOC3"/>
            <w:tabs>
              <w:tab w:val="right" w:leader="dot" w:pos="9350"/>
            </w:tabs>
            <w:rPr>
              <w:rFonts w:asciiTheme="minorHAnsi" w:eastAsiaTheme="minorEastAsia" w:hAnsiTheme="minorHAnsi"/>
              <w:noProof/>
            </w:rPr>
          </w:pPr>
          <w:hyperlink w:anchor="_Toc82090380" w:history="1">
            <w:r w:rsidR="00B52FF6" w:rsidRPr="00701187">
              <w:rPr>
                <w:rStyle w:val="Hyperlink"/>
                <w:noProof/>
              </w:rPr>
              <w:t>2.2.1 Facility Inputs</w:t>
            </w:r>
            <w:r w:rsidR="00B52FF6">
              <w:rPr>
                <w:noProof/>
                <w:webHidden/>
              </w:rPr>
              <w:tab/>
            </w:r>
            <w:r w:rsidR="00B52FF6">
              <w:rPr>
                <w:noProof/>
                <w:webHidden/>
              </w:rPr>
              <w:fldChar w:fldCharType="begin"/>
            </w:r>
            <w:r w:rsidR="00B52FF6">
              <w:rPr>
                <w:noProof/>
                <w:webHidden/>
              </w:rPr>
              <w:instrText xml:space="preserve"> PAGEREF _Toc82090380 \h </w:instrText>
            </w:r>
            <w:r w:rsidR="00B52FF6">
              <w:rPr>
                <w:noProof/>
                <w:webHidden/>
              </w:rPr>
            </w:r>
            <w:r w:rsidR="00B52FF6">
              <w:rPr>
                <w:noProof/>
                <w:webHidden/>
              </w:rPr>
              <w:fldChar w:fldCharType="separate"/>
            </w:r>
            <w:r w:rsidR="00B52FF6">
              <w:rPr>
                <w:noProof/>
                <w:webHidden/>
              </w:rPr>
              <w:t>10</w:t>
            </w:r>
            <w:r w:rsidR="00B52FF6">
              <w:rPr>
                <w:noProof/>
                <w:webHidden/>
              </w:rPr>
              <w:fldChar w:fldCharType="end"/>
            </w:r>
          </w:hyperlink>
        </w:p>
        <w:p w14:paraId="1623AFB5" w14:textId="14BC58FE" w:rsidR="00B52FF6" w:rsidRDefault="004A772F">
          <w:pPr>
            <w:pStyle w:val="TOC3"/>
            <w:tabs>
              <w:tab w:val="right" w:leader="dot" w:pos="9350"/>
            </w:tabs>
            <w:rPr>
              <w:rFonts w:asciiTheme="minorHAnsi" w:eastAsiaTheme="minorEastAsia" w:hAnsiTheme="minorHAnsi"/>
              <w:noProof/>
            </w:rPr>
          </w:pPr>
          <w:hyperlink w:anchor="_Toc82090381" w:history="1">
            <w:r w:rsidR="00B52FF6" w:rsidRPr="00701187">
              <w:rPr>
                <w:rStyle w:val="Hyperlink"/>
                <w:noProof/>
              </w:rPr>
              <w:t>2.2.2 Waste Inputs</w:t>
            </w:r>
            <w:r w:rsidR="00B52FF6">
              <w:rPr>
                <w:noProof/>
                <w:webHidden/>
              </w:rPr>
              <w:tab/>
            </w:r>
            <w:r w:rsidR="00B52FF6">
              <w:rPr>
                <w:noProof/>
                <w:webHidden/>
              </w:rPr>
              <w:fldChar w:fldCharType="begin"/>
            </w:r>
            <w:r w:rsidR="00B52FF6">
              <w:rPr>
                <w:noProof/>
                <w:webHidden/>
              </w:rPr>
              <w:instrText xml:space="preserve"> PAGEREF _Toc82090381 \h </w:instrText>
            </w:r>
            <w:r w:rsidR="00B52FF6">
              <w:rPr>
                <w:noProof/>
                <w:webHidden/>
              </w:rPr>
            </w:r>
            <w:r w:rsidR="00B52FF6">
              <w:rPr>
                <w:noProof/>
                <w:webHidden/>
              </w:rPr>
              <w:fldChar w:fldCharType="separate"/>
            </w:r>
            <w:r w:rsidR="00B52FF6">
              <w:rPr>
                <w:noProof/>
                <w:webHidden/>
              </w:rPr>
              <w:t>11</w:t>
            </w:r>
            <w:r w:rsidR="00B52FF6">
              <w:rPr>
                <w:noProof/>
                <w:webHidden/>
              </w:rPr>
              <w:fldChar w:fldCharType="end"/>
            </w:r>
          </w:hyperlink>
        </w:p>
        <w:p w14:paraId="72186F98" w14:textId="6A99C77A" w:rsidR="00B52FF6" w:rsidRDefault="004A772F">
          <w:pPr>
            <w:pStyle w:val="TOC3"/>
            <w:tabs>
              <w:tab w:val="right" w:leader="dot" w:pos="9350"/>
            </w:tabs>
            <w:rPr>
              <w:rFonts w:asciiTheme="minorHAnsi" w:eastAsiaTheme="minorEastAsia" w:hAnsiTheme="minorHAnsi"/>
              <w:noProof/>
            </w:rPr>
          </w:pPr>
          <w:hyperlink w:anchor="_Toc82090382" w:history="1">
            <w:r w:rsidR="00B52FF6" w:rsidRPr="00701187">
              <w:rPr>
                <w:rStyle w:val="Hyperlink"/>
                <w:noProof/>
              </w:rPr>
              <w:t>2.2.3 Economic Inputs</w:t>
            </w:r>
            <w:r w:rsidR="00B52FF6">
              <w:rPr>
                <w:noProof/>
                <w:webHidden/>
              </w:rPr>
              <w:tab/>
            </w:r>
            <w:r w:rsidR="00B52FF6">
              <w:rPr>
                <w:noProof/>
                <w:webHidden/>
              </w:rPr>
              <w:fldChar w:fldCharType="begin"/>
            </w:r>
            <w:r w:rsidR="00B52FF6">
              <w:rPr>
                <w:noProof/>
                <w:webHidden/>
              </w:rPr>
              <w:instrText xml:space="preserve"> PAGEREF _Toc82090382 \h </w:instrText>
            </w:r>
            <w:r w:rsidR="00B52FF6">
              <w:rPr>
                <w:noProof/>
                <w:webHidden/>
              </w:rPr>
            </w:r>
            <w:r w:rsidR="00B52FF6">
              <w:rPr>
                <w:noProof/>
                <w:webHidden/>
              </w:rPr>
              <w:fldChar w:fldCharType="separate"/>
            </w:r>
            <w:r w:rsidR="00B52FF6">
              <w:rPr>
                <w:noProof/>
                <w:webHidden/>
              </w:rPr>
              <w:t>11</w:t>
            </w:r>
            <w:r w:rsidR="00B52FF6">
              <w:rPr>
                <w:noProof/>
                <w:webHidden/>
              </w:rPr>
              <w:fldChar w:fldCharType="end"/>
            </w:r>
          </w:hyperlink>
        </w:p>
        <w:p w14:paraId="2E7E06F1" w14:textId="0DC7FD5D" w:rsidR="00B52FF6" w:rsidRDefault="004A772F">
          <w:pPr>
            <w:pStyle w:val="TOC2"/>
            <w:tabs>
              <w:tab w:val="right" w:leader="dot" w:pos="9350"/>
            </w:tabs>
            <w:rPr>
              <w:rFonts w:asciiTheme="minorHAnsi" w:eastAsiaTheme="minorEastAsia" w:hAnsiTheme="minorHAnsi"/>
              <w:noProof/>
            </w:rPr>
          </w:pPr>
          <w:hyperlink w:anchor="_Toc82090383" w:history="1">
            <w:r w:rsidR="00B52FF6" w:rsidRPr="00701187">
              <w:rPr>
                <w:rStyle w:val="Hyperlink"/>
                <w:noProof/>
              </w:rPr>
              <w:t>2.3 Default Values (Yellow Tab)</w:t>
            </w:r>
            <w:r w:rsidR="00B52FF6">
              <w:rPr>
                <w:noProof/>
                <w:webHidden/>
              </w:rPr>
              <w:tab/>
            </w:r>
            <w:r w:rsidR="00B52FF6">
              <w:rPr>
                <w:noProof/>
                <w:webHidden/>
              </w:rPr>
              <w:fldChar w:fldCharType="begin"/>
            </w:r>
            <w:r w:rsidR="00B52FF6">
              <w:rPr>
                <w:noProof/>
                <w:webHidden/>
              </w:rPr>
              <w:instrText xml:space="preserve"> PAGEREF _Toc82090383 \h </w:instrText>
            </w:r>
            <w:r w:rsidR="00B52FF6">
              <w:rPr>
                <w:noProof/>
                <w:webHidden/>
              </w:rPr>
            </w:r>
            <w:r w:rsidR="00B52FF6">
              <w:rPr>
                <w:noProof/>
                <w:webHidden/>
              </w:rPr>
              <w:fldChar w:fldCharType="separate"/>
            </w:r>
            <w:r w:rsidR="00B52FF6">
              <w:rPr>
                <w:noProof/>
                <w:webHidden/>
              </w:rPr>
              <w:t>12</w:t>
            </w:r>
            <w:r w:rsidR="00B52FF6">
              <w:rPr>
                <w:noProof/>
                <w:webHidden/>
              </w:rPr>
              <w:fldChar w:fldCharType="end"/>
            </w:r>
          </w:hyperlink>
        </w:p>
        <w:p w14:paraId="33DD149B" w14:textId="7348DF51" w:rsidR="00B52FF6" w:rsidRDefault="004A772F">
          <w:pPr>
            <w:pStyle w:val="TOC2"/>
            <w:tabs>
              <w:tab w:val="right" w:leader="dot" w:pos="9350"/>
            </w:tabs>
            <w:rPr>
              <w:rFonts w:asciiTheme="minorHAnsi" w:eastAsiaTheme="minorEastAsia" w:hAnsiTheme="minorHAnsi"/>
              <w:noProof/>
            </w:rPr>
          </w:pPr>
          <w:hyperlink w:anchor="_Toc82090384" w:history="1">
            <w:r w:rsidR="00B52FF6" w:rsidRPr="00701187">
              <w:rPr>
                <w:rStyle w:val="Hyperlink"/>
                <w:noProof/>
              </w:rPr>
              <w:t>2.4 Outputs (Black Tab)</w:t>
            </w:r>
            <w:r w:rsidR="00B52FF6">
              <w:rPr>
                <w:noProof/>
                <w:webHidden/>
              </w:rPr>
              <w:tab/>
            </w:r>
            <w:r w:rsidR="00B52FF6">
              <w:rPr>
                <w:noProof/>
                <w:webHidden/>
              </w:rPr>
              <w:fldChar w:fldCharType="begin"/>
            </w:r>
            <w:r w:rsidR="00B52FF6">
              <w:rPr>
                <w:noProof/>
                <w:webHidden/>
              </w:rPr>
              <w:instrText xml:space="preserve"> PAGEREF _Toc82090384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436C5BF8" w14:textId="2EC7FA92" w:rsidR="00B52FF6" w:rsidRDefault="004A772F">
          <w:pPr>
            <w:pStyle w:val="TOC2"/>
            <w:tabs>
              <w:tab w:val="right" w:leader="dot" w:pos="9350"/>
            </w:tabs>
            <w:rPr>
              <w:rFonts w:asciiTheme="minorHAnsi" w:eastAsiaTheme="minorEastAsia" w:hAnsiTheme="minorHAnsi"/>
              <w:noProof/>
            </w:rPr>
          </w:pPr>
          <w:hyperlink w:anchor="_Toc82090385" w:history="1">
            <w:r w:rsidR="00B52FF6" w:rsidRPr="00701187">
              <w:rPr>
                <w:rStyle w:val="Hyperlink"/>
                <w:noProof/>
              </w:rPr>
              <w:t>2.5 Organic Waste Treatment Technologies (Gray Tabs)</w:t>
            </w:r>
            <w:r w:rsidR="00B52FF6">
              <w:rPr>
                <w:noProof/>
                <w:webHidden/>
              </w:rPr>
              <w:tab/>
            </w:r>
            <w:r w:rsidR="00B52FF6">
              <w:rPr>
                <w:noProof/>
                <w:webHidden/>
              </w:rPr>
              <w:fldChar w:fldCharType="begin"/>
            </w:r>
            <w:r w:rsidR="00B52FF6">
              <w:rPr>
                <w:noProof/>
                <w:webHidden/>
              </w:rPr>
              <w:instrText xml:space="preserve"> PAGEREF _Toc82090385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2F1114E2" w14:textId="7D2FEC5F" w:rsidR="00B52FF6" w:rsidRDefault="004A772F">
          <w:pPr>
            <w:pStyle w:val="TOC2"/>
            <w:tabs>
              <w:tab w:val="right" w:leader="dot" w:pos="9350"/>
            </w:tabs>
            <w:rPr>
              <w:rFonts w:asciiTheme="minorHAnsi" w:eastAsiaTheme="minorEastAsia" w:hAnsiTheme="minorHAnsi"/>
              <w:noProof/>
            </w:rPr>
          </w:pPr>
          <w:hyperlink w:anchor="_Toc82090386" w:history="1">
            <w:r w:rsidR="00B52FF6" w:rsidRPr="00701187">
              <w:rPr>
                <w:rStyle w:val="Hyperlink"/>
                <w:noProof/>
              </w:rPr>
              <w:t>2.6 Additional Information (Green Tabs)</w:t>
            </w:r>
            <w:r w:rsidR="00B52FF6">
              <w:rPr>
                <w:noProof/>
                <w:webHidden/>
              </w:rPr>
              <w:tab/>
            </w:r>
            <w:r w:rsidR="00B52FF6">
              <w:rPr>
                <w:noProof/>
                <w:webHidden/>
              </w:rPr>
              <w:fldChar w:fldCharType="begin"/>
            </w:r>
            <w:r w:rsidR="00B52FF6">
              <w:rPr>
                <w:noProof/>
                <w:webHidden/>
              </w:rPr>
              <w:instrText xml:space="preserve"> PAGEREF _Toc82090386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3D5AE922" w14:textId="4332E2CD" w:rsidR="00B52FF6" w:rsidRDefault="004A772F">
          <w:pPr>
            <w:pStyle w:val="TOC3"/>
            <w:tabs>
              <w:tab w:val="right" w:leader="dot" w:pos="9350"/>
            </w:tabs>
            <w:rPr>
              <w:rFonts w:asciiTheme="minorHAnsi" w:eastAsiaTheme="minorEastAsia" w:hAnsiTheme="minorHAnsi"/>
              <w:noProof/>
            </w:rPr>
          </w:pPr>
          <w:hyperlink w:anchor="_Toc82090387" w:history="1">
            <w:r w:rsidR="00B52FF6" w:rsidRPr="00701187">
              <w:rPr>
                <w:rStyle w:val="Hyperlink"/>
                <w:noProof/>
              </w:rPr>
              <w:t>2.6.1 Tool Assumptions</w:t>
            </w:r>
            <w:r w:rsidR="00B52FF6">
              <w:rPr>
                <w:noProof/>
                <w:webHidden/>
              </w:rPr>
              <w:tab/>
            </w:r>
            <w:r w:rsidR="00B52FF6">
              <w:rPr>
                <w:noProof/>
                <w:webHidden/>
              </w:rPr>
              <w:fldChar w:fldCharType="begin"/>
            </w:r>
            <w:r w:rsidR="00B52FF6">
              <w:rPr>
                <w:noProof/>
                <w:webHidden/>
              </w:rPr>
              <w:instrText xml:space="preserve"> PAGEREF _Toc82090387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63AE9EAE" w14:textId="553327C6" w:rsidR="00B52FF6" w:rsidRDefault="004A772F">
          <w:pPr>
            <w:pStyle w:val="TOC3"/>
            <w:tabs>
              <w:tab w:val="right" w:leader="dot" w:pos="9350"/>
            </w:tabs>
            <w:rPr>
              <w:rFonts w:asciiTheme="minorHAnsi" w:eastAsiaTheme="minorEastAsia" w:hAnsiTheme="minorHAnsi"/>
              <w:noProof/>
            </w:rPr>
          </w:pPr>
          <w:hyperlink w:anchor="_Toc82090388" w:history="1">
            <w:r w:rsidR="00B52FF6" w:rsidRPr="00701187">
              <w:rPr>
                <w:rStyle w:val="Hyperlink"/>
                <w:noProof/>
              </w:rPr>
              <w:t>2.6.2 Sources</w:t>
            </w:r>
            <w:r w:rsidR="00B52FF6">
              <w:rPr>
                <w:noProof/>
                <w:webHidden/>
              </w:rPr>
              <w:tab/>
            </w:r>
            <w:r w:rsidR="00B52FF6">
              <w:rPr>
                <w:noProof/>
                <w:webHidden/>
              </w:rPr>
              <w:fldChar w:fldCharType="begin"/>
            </w:r>
            <w:r w:rsidR="00B52FF6">
              <w:rPr>
                <w:noProof/>
                <w:webHidden/>
              </w:rPr>
              <w:instrText xml:space="preserve"> PAGEREF _Toc82090388 \h </w:instrText>
            </w:r>
            <w:r w:rsidR="00B52FF6">
              <w:rPr>
                <w:noProof/>
                <w:webHidden/>
              </w:rPr>
            </w:r>
            <w:r w:rsidR="00B52FF6">
              <w:rPr>
                <w:noProof/>
                <w:webHidden/>
              </w:rPr>
              <w:fldChar w:fldCharType="separate"/>
            </w:r>
            <w:r w:rsidR="00B52FF6">
              <w:rPr>
                <w:noProof/>
                <w:webHidden/>
              </w:rPr>
              <w:t>13</w:t>
            </w:r>
            <w:r w:rsidR="00B52FF6">
              <w:rPr>
                <w:noProof/>
                <w:webHidden/>
              </w:rPr>
              <w:fldChar w:fldCharType="end"/>
            </w:r>
          </w:hyperlink>
        </w:p>
        <w:p w14:paraId="3D0A778A" w14:textId="0951D2D3" w:rsidR="00B52FF6" w:rsidRDefault="004A772F">
          <w:pPr>
            <w:pStyle w:val="TOC1"/>
            <w:tabs>
              <w:tab w:val="right" w:leader="dot" w:pos="9350"/>
            </w:tabs>
            <w:rPr>
              <w:rFonts w:asciiTheme="minorHAnsi" w:eastAsiaTheme="minorEastAsia" w:hAnsiTheme="minorHAnsi"/>
              <w:noProof/>
            </w:rPr>
          </w:pPr>
          <w:hyperlink w:anchor="_Toc82090389" w:history="1">
            <w:r w:rsidR="00B52FF6" w:rsidRPr="00701187">
              <w:rPr>
                <w:rStyle w:val="Hyperlink"/>
                <w:noProof/>
              </w:rPr>
              <w:t>3. OrganEcs Compost Edition: Tab-by-Tab Guide</w:t>
            </w:r>
            <w:r w:rsidR="00B52FF6">
              <w:rPr>
                <w:noProof/>
                <w:webHidden/>
              </w:rPr>
              <w:tab/>
            </w:r>
            <w:r w:rsidR="00B52FF6">
              <w:rPr>
                <w:noProof/>
                <w:webHidden/>
              </w:rPr>
              <w:fldChar w:fldCharType="begin"/>
            </w:r>
            <w:r w:rsidR="00B52FF6">
              <w:rPr>
                <w:noProof/>
                <w:webHidden/>
              </w:rPr>
              <w:instrText xml:space="preserve"> PAGEREF _Toc82090389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598CC69" w14:textId="41E082D2" w:rsidR="00B52FF6" w:rsidRDefault="004A772F">
          <w:pPr>
            <w:pStyle w:val="TOC2"/>
            <w:tabs>
              <w:tab w:val="right" w:leader="dot" w:pos="9350"/>
            </w:tabs>
            <w:rPr>
              <w:rFonts w:asciiTheme="minorHAnsi" w:eastAsiaTheme="minorEastAsia" w:hAnsiTheme="minorHAnsi"/>
              <w:noProof/>
            </w:rPr>
          </w:pPr>
          <w:hyperlink w:anchor="_Toc82090390" w:history="1">
            <w:r w:rsidR="00B52FF6" w:rsidRPr="00701187">
              <w:rPr>
                <w:rStyle w:val="Hyperlink"/>
                <w:noProof/>
              </w:rPr>
              <w:t>3.1 Basic Tool Information (Brown Tabs)</w:t>
            </w:r>
            <w:r w:rsidR="00B52FF6">
              <w:rPr>
                <w:noProof/>
                <w:webHidden/>
              </w:rPr>
              <w:tab/>
            </w:r>
            <w:r w:rsidR="00B52FF6">
              <w:rPr>
                <w:noProof/>
                <w:webHidden/>
              </w:rPr>
              <w:fldChar w:fldCharType="begin"/>
            </w:r>
            <w:r w:rsidR="00B52FF6">
              <w:rPr>
                <w:noProof/>
                <w:webHidden/>
              </w:rPr>
              <w:instrText xml:space="preserve"> PAGEREF _Toc82090390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1E6CBD5" w14:textId="7E14EC30" w:rsidR="00B52FF6" w:rsidRDefault="004A772F">
          <w:pPr>
            <w:pStyle w:val="TOC3"/>
            <w:tabs>
              <w:tab w:val="right" w:leader="dot" w:pos="9350"/>
            </w:tabs>
            <w:rPr>
              <w:rFonts w:asciiTheme="minorHAnsi" w:eastAsiaTheme="minorEastAsia" w:hAnsiTheme="minorHAnsi"/>
              <w:noProof/>
            </w:rPr>
          </w:pPr>
          <w:hyperlink w:anchor="_Toc82090391" w:history="1">
            <w:r w:rsidR="00B52FF6" w:rsidRPr="00701187">
              <w:rPr>
                <w:rStyle w:val="Hyperlink"/>
                <w:noProof/>
              </w:rPr>
              <w:t>3.1.1 Cover</w:t>
            </w:r>
            <w:r w:rsidR="00B52FF6">
              <w:rPr>
                <w:noProof/>
                <w:webHidden/>
              </w:rPr>
              <w:tab/>
            </w:r>
            <w:r w:rsidR="00B52FF6">
              <w:rPr>
                <w:noProof/>
                <w:webHidden/>
              </w:rPr>
              <w:fldChar w:fldCharType="begin"/>
            </w:r>
            <w:r w:rsidR="00B52FF6">
              <w:rPr>
                <w:noProof/>
                <w:webHidden/>
              </w:rPr>
              <w:instrText xml:space="preserve"> PAGEREF _Toc82090391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E269599" w14:textId="162B90AB" w:rsidR="00B52FF6" w:rsidRDefault="004A772F">
          <w:pPr>
            <w:pStyle w:val="TOC3"/>
            <w:tabs>
              <w:tab w:val="right" w:leader="dot" w:pos="9350"/>
            </w:tabs>
            <w:rPr>
              <w:rFonts w:asciiTheme="minorHAnsi" w:eastAsiaTheme="minorEastAsia" w:hAnsiTheme="minorHAnsi"/>
              <w:noProof/>
            </w:rPr>
          </w:pPr>
          <w:hyperlink w:anchor="_Toc82090392" w:history="1">
            <w:r w:rsidR="00B52FF6" w:rsidRPr="00701187">
              <w:rPr>
                <w:rStyle w:val="Hyperlink"/>
                <w:noProof/>
              </w:rPr>
              <w:t>3.1.2 Title</w:t>
            </w:r>
            <w:r w:rsidR="00B52FF6">
              <w:rPr>
                <w:noProof/>
                <w:webHidden/>
              </w:rPr>
              <w:tab/>
            </w:r>
            <w:r w:rsidR="00B52FF6">
              <w:rPr>
                <w:noProof/>
                <w:webHidden/>
              </w:rPr>
              <w:fldChar w:fldCharType="begin"/>
            </w:r>
            <w:r w:rsidR="00B52FF6">
              <w:rPr>
                <w:noProof/>
                <w:webHidden/>
              </w:rPr>
              <w:instrText xml:space="preserve"> PAGEREF _Toc82090392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9460C03" w14:textId="3557D3CE" w:rsidR="00B52FF6" w:rsidRDefault="004A772F">
          <w:pPr>
            <w:pStyle w:val="TOC3"/>
            <w:tabs>
              <w:tab w:val="right" w:leader="dot" w:pos="9350"/>
            </w:tabs>
            <w:rPr>
              <w:rFonts w:asciiTheme="minorHAnsi" w:eastAsiaTheme="minorEastAsia" w:hAnsiTheme="minorHAnsi"/>
              <w:noProof/>
            </w:rPr>
          </w:pPr>
          <w:hyperlink w:anchor="_Toc82090393" w:history="1">
            <w:r w:rsidR="00B52FF6" w:rsidRPr="00701187">
              <w:rPr>
                <w:rStyle w:val="Hyperlink"/>
                <w:noProof/>
              </w:rPr>
              <w:t>3.1.3 Contents</w:t>
            </w:r>
            <w:r w:rsidR="00B52FF6">
              <w:rPr>
                <w:noProof/>
                <w:webHidden/>
              </w:rPr>
              <w:tab/>
            </w:r>
            <w:r w:rsidR="00B52FF6">
              <w:rPr>
                <w:noProof/>
                <w:webHidden/>
              </w:rPr>
              <w:fldChar w:fldCharType="begin"/>
            </w:r>
            <w:r w:rsidR="00B52FF6">
              <w:rPr>
                <w:noProof/>
                <w:webHidden/>
              </w:rPr>
              <w:instrText xml:space="preserve"> PAGEREF _Toc82090393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6F47ABA0" w14:textId="28F20A66" w:rsidR="00B52FF6" w:rsidRDefault="004A772F">
          <w:pPr>
            <w:pStyle w:val="TOC3"/>
            <w:tabs>
              <w:tab w:val="right" w:leader="dot" w:pos="9350"/>
            </w:tabs>
            <w:rPr>
              <w:rFonts w:asciiTheme="minorHAnsi" w:eastAsiaTheme="minorEastAsia" w:hAnsiTheme="minorHAnsi"/>
              <w:noProof/>
            </w:rPr>
          </w:pPr>
          <w:hyperlink w:anchor="_Toc82090394" w:history="1">
            <w:r w:rsidR="00B52FF6" w:rsidRPr="00701187">
              <w:rPr>
                <w:rStyle w:val="Hyperlink"/>
                <w:noProof/>
              </w:rPr>
              <w:t>3.1.4 Background</w:t>
            </w:r>
            <w:r w:rsidR="00B52FF6">
              <w:rPr>
                <w:noProof/>
                <w:webHidden/>
              </w:rPr>
              <w:tab/>
            </w:r>
            <w:r w:rsidR="00B52FF6">
              <w:rPr>
                <w:noProof/>
                <w:webHidden/>
              </w:rPr>
              <w:fldChar w:fldCharType="begin"/>
            </w:r>
            <w:r w:rsidR="00B52FF6">
              <w:rPr>
                <w:noProof/>
                <w:webHidden/>
              </w:rPr>
              <w:instrText xml:space="preserve"> PAGEREF _Toc82090394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2B8FFF7B" w14:textId="68D68D73" w:rsidR="00B52FF6" w:rsidRDefault="004A772F">
          <w:pPr>
            <w:pStyle w:val="TOC3"/>
            <w:tabs>
              <w:tab w:val="right" w:leader="dot" w:pos="9350"/>
            </w:tabs>
            <w:rPr>
              <w:rFonts w:asciiTheme="minorHAnsi" w:eastAsiaTheme="minorEastAsia" w:hAnsiTheme="minorHAnsi"/>
              <w:noProof/>
            </w:rPr>
          </w:pPr>
          <w:hyperlink w:anchor="_Toc82090395" w:history="1">
            <w:r w:rsidR="00B52FF6" w:rsidRPr="00701187">
              <w:rPr>
                <w:rStyle w:val="Hyperlink"/>
                <w:noProof/>
              </w:rPr>
              <w:t>3.1.5 Instructions</w:t>
            </w:r>
            <w:r w:rsidR="00B52FF6">
              <w:rPr>
                <w:noProof/>
                <w:webHidden/>
              </w:rPr>
              <w:tab/>
            </w:r>
            <w:r w:rsidR="00B52FF6">
              <w:rPr>
                <w:noProof/>
                <w:webHidden/>
              </w:rPr>
              <w:fldChar w:fldCharType="begin"/>
            </w:r>
            <w:r w:rsidR="00B52FF6">
              <w:rPr>
                <w:noProof/>
                <w:webHidden/>
              </w:rPr>
              <w:instrText xml:space="preserve"> PAGEREF _Toc82090395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4E48C9F4" w14:textId="606D0060" w:rsidR="00B52FF6" w:rsidRDefault="004A772F">
          <w:pPr>
            <w:pStyle w:val="TOC2"/>
            <w:tabs>
              <w:tab w:val="right" w:leader="dot" w:pos="9350"/>
            </w:tabs>
            <w:rPr>
              <w:rFonts w:asciiTheme="minorHAnsi" w:eastAsiaTheme="minorEastAsia" w:hAnsiTheme="minorHAnsi"/>
              <w:noProof/>
            </w:rPr>
          </w:pPr>
          <w:hyperlink w:anchor="_Toc82090396" w:history="1">
            <w:r w:rsidR="00B52FF6" w:rsidRPr="00701187">
              <w:rPr>
                <w:rStyle w:val="Hyperlink"/>
                <w:noProof/>
              </w:rPr>
              <w:t>3.2 Data Inputs (Blue Tabs)</w:t>
            </w:r>
            <w:r w:rsidR="00B52FF6">
              <w:rPr>
                <w:noProof/>
                <w:webHidden/>
              </w:rPr>
              <w:tab/>
            </w:r>
            <w:r w:rsidR="00B52FF6">
              <w:rPr>
                <w:noProof/>
                <w:webHidden/>
              </w:rPr>
              <w:fldChar w:fldCharType="begin"/>
            </w:r>
            <w:r w:rsidR="00B52FF6">
              <w:rPr>
                <w:noProof/>
                <w:webHidden/>
              </w:rPr>
              <w:instrText xml:space="preserve"> PAGEREF _Toc82090396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59787F4A" w14:textId="570165AB" w:rsidR="00B52FF6" w:rsidRDefault="004A772F">
          <w:pPr>
            <w:pStyle w:val="TOC3"/>
            <w:tabs>
              <w:tab w:val="right" w:leader="dot" w:pos="9350"/>
            </w:tabs>
            <w:rPr>
              <w:rFonts w:asciiTheme="minorHAnsi" w:eastAsiaTheme="minorEastAsia" w:hAnsiTheme="minorHAnsi"/>
              <w:noProof/>
            </w:rPr>
          </w:pPr>
          <w:hyperlink w:anchor="_Toc82090397" w:history="1">
            <w:r w:rsidR="00B52FF6" w:rsidRPr="00701187">
              <w:rPr>
                <w:rStyle w:val="Hyperlink"/>
                <w:noProof/>
              </w:rPr>
              <w:t>3.2.1 Facility Inputs</w:t>
            </w:r>
            <w:r w:rsidR="00B52FF6">
              <w:rPr>
                <w:noProof/>
                <w:webHidden/>
              </w:rPr>
              <w:tab/>
            </w:r>
            <w:r w:rsidR="00B52FF6">
              <w:rPr>
                <w:noProof/>
                <w:webHidden/>
              </w:rPr>
              <w:fldChar w:fldCharType="begin"/>
            </w:r>
            <w:r w:rsidR="00B52FF6">
              <w:rPr>
                <w:noProof/>
                <w:webHidden/>
              </w:rPr>
              <w:instrText xml:space="preserve"> PAGEREF _Toc82090397 \h </w:instrText>
            </w:r>
            <w:r w:rsidR="00B52FF6">
              <w:rPr>
                <w:noProof/>
                <w:webHidden/>
              </w:rPr>
            </w:r>
            <w:r w:rsidR="00B52FF6">
              <w:rPr>
                <w:noProof/>
                <w:webHidden/>
              </w:rPr>
              <w:fldChar w:fldCharType="separate"/>
            </w:r>
            <w:r w:rsidR="00B52FF6">
              <w:rPr>
                <w:noProof/>
                <w:webHidden/>
              </w:rPr>
              <w:t>14</w:t>
            </w:r>
            <w:r w:rsidR="00B52FF6">
              <w:rPr>
                <w:noProof/>
                <w:webHidden/>
              </w:rPr>
              <w:fldChar w:fldCharType="end"/>
            </w:r>
          </w:hyperlink>
        </w:p>
        <w:p w14:paraId="7EB81810" w14:textId="45A9812A" w:rsidR="00B52FF6" w:rsidRDefault="004A772F">
          <w:pPr>
            <w:pStyle w:val="TOC3"/>
            <w:tabs>
              <w:tab w:val="right" w:leader="dot" w:pos="9350"/>
            </w:tabs>
            <w:rPr>
              <w:rFonts w:asciiTheme="minorHAnsi" w:eastAsiaTheme="minorEastAsia" w:hAnsiTheme="minorHAnsi"/>
              <w:noProof/>
            </w:rPr>
          </w:pPr>
          <w:hyperlink w:anchor="_Toc82090398" w:history="1">
            <w:r w:rsidR="00B52FF6" w:rsidRPr="00701187">
              <w:rPr>
                <w:rStyle w:val="Hyperlink"/>
                <w:noProof/>
              </w:rPr>
              <w:t>3.2.2 Waste Inputs</w:t>
            </w:r>
            <w:r w:rsidR="00B52FF6">
              <w:rPr>
                <w:noProof/>
                <w:webHidden/>
              </w:rPr>
              <w:tab/>
            </w:r>
            <w:r w:rsidR="00B52FF6">
              <w:rPr>
                <w:noProof/>
                <w:webHidden/>
              </w:rPr>
              <w:fldChar w:fldCharType="begin"/>
            </w:r>
            <w:r w:rsidR="00B52FF6">
              <w:rPr>
                <w:noProof/>
                <w:webHidden/>
              </w:rPr>
              <w:instrText xml:space="preserve"> PAGEREF _Toc82090398 \h </w:instrText>
            </w:r>
            <w:r w:rsidR="00B52FF6">
              <w:rPr>
                <w:noProof/>
                <w:webHidden/>
              </w:rPr>
            </w:r>
            <w:r w:rsidR="00B52FF6">
              <w:rPr>
                <w:noProof/>
                <w:webHidden/>
              </w:rPr>
              <w:fldChar w:fldCharType="separate"/>
            </w:r>
            <w:r w:rsidR="00B52FF6">
              <w:rPr>
                <w:noProof/>
                <w:webHidden/>
              </w:rPr>
              <w:t>15</w:t>
            </w:r>
            <w:r w:rsidR="00B52FF6">
              <w:rPr>
                <w:noProof/>
                <w:webHidden/>
              </w:rPr>
              <w:fldChar w:fldCharType="end"/>
            </w:r>
          </w:hyperlink>
        </w:p>
        <w:p w14:paraId="77802A60" w14:textId="10A70728" w:rsidR="00B52FF6" w:rsidRDefault="004A772F">
          <w:pPr>
            <w:pStyle w:val="TOC3"/>
            <w:tabs>
              <w:tab w:val="right" w:leader="dot" w:pos="9350"/>
            </w:tabs>
            <w:rPr>
              <w:rFonts w:asciiTheme="minorHAnsi" w:eastAsiaTheme="minorEastAsia" w:hAnsiTheme="minorHAnsi"/>
              <w:noProof/>
            </w:rPr>
          </w:pPr>
          <w:hyperlink w:anchor="_Toc82090399" w:history="1">
            <w:r w:rsidR="00B52FF6" w:rsidRPr="00701187">
              <w:rPr>
                <w:rStyle w:val="Hyperlink"/>
                <w:noProof/>
              </w:rPr>
              <w:t>3.2.3 Economic Inputs</w:t>
            </w:r>
            <w:r w:rsidR="00B52FF6">
              <w:rPr>
                <w:noProof/>
                <w:webHidden/>
              </w:rPr>
              <w:tab/>
            </w:r>
            <w:r w:rsidR="00B52FF6">
              <w:rPr>
                <w:noProof/>
                <w:webHidden/>
              </w:rPr>
              <w:fldChar w:fldCharType="begin"/>
            </w:r>
            <w:r w:rsidR="00B52FF6">
              <w:rPr>
                <w:noProof/>
                <w:webHidden/>
              </w:rPr>
              <w:instrText xml:space="preserve"> PAGEREF _Toc82090399 \h </w:instrText>
            </w:r>
            <w:r w:rsidR="00B52FF6">
              <w:rPr>
                <w:noProof/>
                <w:webHidden/>
              </w:rPr>
            </w:r>
            <w:r w:rsidR="00B52FF6">
              <w:rPr>
                <w:noProof/>
                <w:webHidden/>
              </w:rPr>
              <w:fldChar w:fldCharType="separate"/>
            </w:r>
            <w:r w:rsidR="00B52FF6">
              <w:rPr>
                <w:noProof/>
                <w:webHidden/>
              </w:rPr>
              <w:t>15</w:t>
            </w:r>
            <w:r w:rsidR="00B52FF6">
              <w:rPr>
                <w:noProof/>
                <w:webHidden/>
              </w:rPr>
              <w:fldChar w:fldCharType="end"/>
            </w:r>
          </w:hyperlink>
        </w:p>
        <w:p w14:paraId="0AE69BCA" w14:textId="644493AC" w:rsidR="00B52FF6" w:rsidRDefault="004A772F">
          <w:pPr>
            <w:pStyle w:val="TOC2"/>
            <w:tabs>
              <w:tab w:val="right" w:leader="dot" w:pos="9350"/>
            </w:tabs>
            <w:rPr>
              <w:rFonts w:asciiTheme="minorHAnsi" w:eastAsiaTheme="minorEastAsia" w:hAnsiTheme="minorHAnsi"/>
              <w:noProof/>
            </w:rPr>
          </w:pPr>
          <w:hyperlink w:anchor="_Toc82090400" w:history="1">
            <w:r w:rsidR="00B52FF6" w:rsidRPr="00701187">
              <w:rPr>
                <w:rStyle w:val="Hyperlink"/>
                <w:noProof/>
              </w:rPr>
              <w:t>3.3 Default Values (Yellow Tab)</w:t>
            </w:r>
            <w:r w:rsidR="00B52FF6">
              <w:rPr>
                <w:noProof/>
                <w:webHidden/>
              </w:rPr>
              <w:tab/>
            </w:r>
            <w:r w:rsidR="00B52FF6">
              <w:rPr>
                <w:noProof/>
                <w:webHidden/>
              </w:rPr>
              <w:fldChar w:fldCharType="begin"/>
            </w:r>
            <w:r w:rsidR="00B52FF6">
              <w:rPr>
                <w:noProof/>
                <w:webHidden/>
              </w:rPr>
              <w:instrText xml:space="preserve"> PAGEREF _Toc82090400 \h </w:instrText>
            </w:r>
            <w:r w:rsidR="00B52FF6">
              <w:rPr>
                <w:noProof/>
                <w:webHidden/>
              </w:rPr>
            </w:r>
            <w:r w:rsidR="00B52FF6">
              <w:rPr>
                <w:noProof/>
                <w:webHidden/>
              </w:rPr>
              <w:fldChar w:fldCharType="separate"/>
            </w:r>
            <w:r w:rsidR="00B52FF6">
              <w:rPr>
                <w:noProof/>
                <w:webHidden/>
              </w:rPr>
              <w:t>16</w:t>
            </w:r>
            <w:r w:rsidR="00B52FF6">
              <w:rPr>
                <w:noProof/>
                <w:webHidden/>
              </w:rPr>
              <w:fldChar w:fldCharType="end"/>
            </w:r>
          </w:hyperlink>
        </w:p>
        <w:p w14:paraId="4BF3520C" w14:textId="50C0117B" w:rsidR="00B52FF6" w:rsidRDefault="004A772F">
          <w:pPr>
            <w:pStyle w:val="TOC2"/>
            <w:tabs>
              <w:tab w:val="right" w:leader="dot" w:pos="9350"/>
            </w:tabs>
            <w:rPr>
              <w:rFonts w:asciiTheme="minorHAnsi" w:eastAsiaTheme="minorEastAsia" w:hAnsiTheme="minorHAnsi"/>
              <w:noProof/>
            </w:rPr>
          </w:pPr>
          <w:hyperlink w:anchor="_Toc82090401" w:history="1">
            <w:r w:rsidR="00B52FF6" w:rsidRPr="00701187">
              <w:rPr>
                <w:rStyle w:val="Hyperlink"/>
                <w:noProof/>
              </w:rPr>
              <w:t>3.4 Outputs (Black Tab)</w:t>
            </w:r>
            <w:r w:rsidR="00B52FF6">
              <w:rPr>
                <w:noProof/>
                <w:webHidden/>
              </w:rPr>
              <w:tab/>
            </w:r>
            <w:r w:rsidR="00B52FF6">
              <w:rPr>
                <w:noProof/>
                <w:webHidden/>
              </w:rPr>
              <w:fldChar w:fldCharType="begin"/>
            </w:r>
            <w:r w:rsidR="00B52FF6">
              <w:rPr>
                <w:noProof/>
                <w:webHidden/>
              </w:rPr>
              <w:instrText xml:space="preserve"> PAGEREF _Toc82090401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509F8301" w14:textId="0B00AD86" w:rsidR="00B52FF6" w:rsidRDefault="004A772F">
          <w:pPr>
            <w:pStyle w:val="TOC2"/>
            <w:tabs>
              <w:tab w:val="right" w:leader="dot" w:pos="9350"/>
            </w:tabs>
            <w:rPr>
              <w:rFonts w:asciiTheme="minorHAnsi" w:eastAsiaTheme="minorEastAsia" w:hAnsiTheme="minorHAnsi"/>
              <w:noProof/>
            </w:rPr>
          </w:pPr>
          <w:hyperlink w:anchor="_Toc82090402" w:history="1">
            <w:r w:rsidR="00B52FF6" w:rsidRPr="00701187">
              <w:rPr>
                <w:rStyle w:val="Hyperlink"/>
                <w:noProof/>
              </w:rPr>
              <w:t>3.5 Organic Waste Treatment Technologies (Gray Tabs)</w:t>
            </w:r>
            <w:r w:rsidR="00B52FF6">
              <w:rPr>
                <w:noProof/>
                <w:webHidden/>
              </w:rPr>
              <w:tab/>
            </w:r>
            <w:r w:rsidR="00B52FF6">
              <w:rPr>
                <w:noProof/>
                <w:webHidden/>
              </w:rPr>
              <w:fldChar w:fldCharType="begin"/>
            </w:r>
            <w:r w:rsidR="00B52FF6">
              <w:rPr>
                <w:noProof/>
                <w:webHidden/>
              </w:rPr>
              <w:instrText xml:space="preserve"> PAGEREF _Toc82090402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1271A5BE" w14:textId="240E768F" w:rsidR="00B52FF6" w:rsidRDefault="004A772F">
          <w:pPr>
            <w:pStyle w:val="TOC2"/>
            <w:tabs>
              <w:tab w:val="right" w:leader="dot" w:pos="9350"/>
            </w:tabs>
            <w:rPr>
              <w:rFonts w:asciiTheme="minorHAnsi" w:eastAsiaTheme="minorEastAsia" w:hAnsiTheme="minorHAnsi"/>
              <w:noProof/>
            </w:rPr>
          </w:pPr>
          <w:hyperlink w:anchor="_Toc82090403" w:history="1">
            <w:r w:rsidR="00B52FF6" w:rsidRPr="00701187">
              <w:rPr>
                <w:rStyle w:val="Hyperlink"/>
                <w:noProof/>
              </w:rPr>
              <w:t>3.6 Additional Information (Green Tabs)</w:t>
            </w:r>
            <w:r w:rsidR="00B52FF6">
              <w:rPr>
                <w:noProof/>
                <w:webHidden/>
              </w:rPr>
              <w:tab/>
            </w:r>
            <w:r w:rsidR="00B52FF6">
              <w:rPr>
                <w:noProof/>
                <w:webHidden/>
              </w:rPr>
              <w:fldChar w:fldCharType="begin"/>
            </w:r>
            <w:r w:rsidR="00B52FF6">
              <w:rPr>
                <w:noProof/>
                <w:webHidden/>
              </w:rPr>
              <w:instrText xml:space="preserve"> PAGEREF _Toc82090403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2CF01E7A" w14:textId="69C7C79A" w:rsidR="00B52FF6" w:rsidRDefault="004A772F">
          <w:pPr>
            <w:pStyle w:val="TOC3"/>
            <w:tabs>
              <w:tab w:val="right" w:leader="dot" w:pos="9350"/>
            </w:tabs>
            <w:rPr>
              <w:rFonts w:asciiTheme="minorHAnsi" w:eastAsiaTheme="minorEastAsia" w:hAnsiTheme="minorHAnsi"/>
              <w:noProof/>
            </w:rPr>
          </w:pPr>
          <w:hyperlink w:anchor="_Toc82090404" w:history="1">
            <w:r w:rsidR="00B52FF6" w:rsidRPr="00701187">
              <w:rPr>
                <w:rStyle w:val="Hyperlink"/>
                <w:noProof/>
              </w:rPr>
              <w:t>3.6.1 Tool Assumptions</w:t>
            </w:r>
            <w:r w:rsidR="00B52FF6">
              <w:rPr>
                <w:noProof/>
                <w:webHidden/>
              </w:rPr>
              <w:tab/>
            </w:r>
            <w:r w:rsidR="00B52FF6">
              <w:rPr>
                <w:noProof/>
                <w:webHidden/>
              </w:rPr>
              <w:fldChar w:fldCharType="begin"/>
            </w:r>
            <w:r w:rsidR="00B52FF6">
              <w:rPr>
                <w:noProof/>
                <w:webHidden/>
              </w:rPr>
              <w:instrText xml:space="preserve"> PAGEREF _Toc82090404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12CDE77E" w14:textId="562A7357" w:rsidR="00B52FF6" w:rsidRDefault="004A772F">
          <w:pPr>
            <w:pStyle w:val="TOC3"/>
            <w:tabs>
              <w:tab w:val="right" w:leader="dot" w:pos="9350"/>
            </w:tabs>
            <w:rPr>
              <w:rFonts w:asciiTheme="minorHAnsi" w:eastAsiaTheme="minorEastAsia" w:hAnsiTheme="minorHAnsi"/>
              <w:noProof/>
            </w:rPr>
          </w:pPr>
          <w:hyperlink w:anchor="_Toc82090405" w:history="1">
            <w:r w:rsidR="00B52FF6" w:rsidRPr="00701187">
              <w:rPr>
                <w:rStyle w:val="Hyperlink"/>
                <w:noProof/>
              </w:rPr>
              <w:t>3.6.2 Sources</w:t>
            </w:r>
            <w:r w:rsidR="00B52FF6">
              <w:rPr>
                <w:noProof/>
                <w:webHidden/>
              </w:rPr>
              <w:tab/>
            </w:r>
            <w:r w:rsidR="00B52FF6">
              <w:rPr>
                <w:noProof/>
                <w:webHidden/>
              </w:rPr>
              <w:fldChar w:fldCharType="begin"/>
            </w:r>
            <w:r w:rsidR="00B52FF6">
              <w:rPr>
                <w:noProof/>
                <w:webHidden/>
              </w:rPr>
              <w:instrText xml:space="preserve"> PAGEREF _Toc82090405 \h </w:instrText>
            </w:r>
            <w:r w:rsidR="00B52FF6">
              <w:rPr>
                <w:noProof/>
                <w:webHidden/>
              </w:rPr>
            </w:r>
            <w:r w:rsidR="00B52FF6">
              <w:rPr>
                <w:noProof/>
                <w:webHidden/>
              </w:rPr>
              <w:fldChar w:fldCharType="separate"/>
            </w:r>
            <w:r w:rsidR="00B52FF6">
              <w:rPr>
                <w:noProof/>
                <w:webHidden/>
              </w:rPr>
              <w:t>17</w:t>
            </w:r>
            <w:r w:rsidR="00B52FF6">
              <w:rPr>
                <w:noProof/>
                <w:webHidden/>
              </w:rPr>
              <w:fldChar w:fldCharType="end"/>
            </w:r>
          </w:hyperlink>
        </w:p>
        <w:p w14:paraId="003696F5" w14:textId="2A7E60B9" w:rsidR="00B52FF6" w:rsidRDefault="004A772F">
          <w:pPr>
            <w:pStyle w:val="TOC1"/>
            <w:tabs>
              <w:tab w:val="right" w:leader="dot" w:pos="9350"/>
            </w:tabs>
            <w:rPr>
              <w:rFonts w:asciiTheme="minorHAnsi" w:eastAsiaTheme="minorEastAsia" w:hAnsiTheme="minorHAnsi"/>
              <w:noProof/>
            </w:rPr>
          </w:pPr>
          <w:hyperlink w:anchor="_Toc82090406" w:history="1">
            <w:r w:rsidR="00B52FF6" w:rsidRPr="00701187">
              <w:rPr>
                <w:rStyle w:val="Hyperlink"/>
                <w:noProof/>
                <w:lang w:val="fr-FR"/>
              </w:rPr>
              <w:t>4 Limitations</w:t>
            </w:r>
            <w:r w:rsidR="00B52FF6">
              <w:rPr>
                <w:noProof/>
                <w:webHidden/>
              </w:rPr>
              <w:tab/>
            </w:r>
            <w:r w:rsidR="00B52FF6">
              <w:rPr>
                <w:noProof/>
                <w:webHidden/>
              </w:rPr>
              <w:fldChar w:fldCharType="begin"/>
            </w:r>
            <w:r w:rsidR="00B52FF6">
              <w:rPr>
                <w:noProof/>
                <w:webHidden/>
              </w:rPr>
              <w:instrText xml:space="preserve"> PAGEREF _Toc82090406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4949E1BC" w14:textId="4132FF0C" w:rsidR="00B52FF6" w:rsidRDefault="004A772F">
          <w:pPr>
            <w:pStyle w:val="TOC2"/>
            <w:tabs>
              <w:tab w:val="right" w:leader="dot" w:pos="9350"/>
            </w:tabs>
            <w:rPr>
              <w:rFonts w:asciiTheme="minorHAnsi" w:eastAsiaTheme="minorEastAsia" w:hAnsiTheme="minorHAnsi"/>
              <w:noProof/>
            </w:rPr>
          </w:pPr>
          <w:hyperlink w:anchor="_Toc82090407" w:history="1">
            <w:r w:rsidR="00B52FF6" w:rsidRPr="00701187">
              <w:rPr>
                <w:rStyle w:val="Hyperlink"/>
                <w:noProof/>
                <w:lang w:val="fr-FR"/>
              </w:rPr>
              <w:t>4.1 Anaerobic Digestion Edition: Limitations</w:t>
            </w:r>
            <w:r w:rsidR="00B52FF6">
              <w:rPr>
                <w:noProof/>
                <w:webHidden/>
              </w:rPr>
              <w:tab/>
            </w:r>
            <w:r w:rsidR="00B52FF6">
              <w:rPr>
                <w:noProof/>
                <w:webHidden/>
              </w:rPr>
              <w:fldChar w:fldCharType="begin"/>
            </w:r>
            <w:r w:rsidR="00B52FF6">
              <w:rPr>
                <w:noProof/>
                <w:webHidden/>
              </w:rPr>
              <w:instrText xml:space="preserve"> PAGEREF _Toc82090407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3265D3FF" w14:textId="30C8B1C4" w:rsidR="00B52FF6" w:rsidRDefault="004A772F">
          <w:pPr>
            <w:pStyle w:val="TOC2"/>
            <w:tabs>
              <w:tab w:val="right" w:leader="dot" w:pos="9350"/>
            </w:tabs>
            <w:rPr>
              <w:rFonts w:asciiTheme="minorHAnsi" w:eastAsiaTheme="minorEastAsia" w:hAnsiTheme="minorHAnsi"/>
              <w:noProof/>
            </w:rPr>
          </w:pPr>
          <w:hyperlink w:anchor="_Toc82090408" w:history="1">
            <w:r w:rsidR="00B52FF6" w:rsidRPr="00701187">
              <w:rPr>
                <w:rStyle w:val="Hyperlink"/>
                <w:noProof/>
              </w:rPr>
              <w:t>4.2 Compost Edition: Limitations</w:t>
            </w:r>
            <w:r w:rsidR="00B52FF6">
              <w:rPr>
                <w:noProof/>
                <w:webHidden/>
              </w:rPr>
              <w:tab/>
            </w:r>
            <w:r w:rsidR="00B52FF6">
              <w:rPr>
                <w:noProof/>
                <w:webHidden/>
              </w:rPr>
              <w:fldChar w:fldCharType="begin"/>
            </w:r>
            <w:r w:rsidR="00B52FF6">
              <w:rPr>
                <w:noProof/>
                <w:webHidden/>
              </w:rPr>
              <w:instrText xml:space="preserve"> PAGEREF _Toc82090408 \h </w:instrText>
            </w:r>
            <w:r w:rsidR="00B52FF6">
              <w:rPr>
                <w:noProof/>
                <w:webHidden/>
              </w:rPr>
            </w:r>
            <w:r w:rsidR="00B52FF6">
              <w:rPr>
                <w:noProof/>
                <w:webHidden/>
              </w:rPr>
              <w:fldChar w:fldCharType="separate"/>
            </w:r>
            <w:r w:rsidR="00B52FF6">
              <w:rPr>
                <w:noProof/>
                <w:webHidden/>
              </w:rPr>
              <w:t>18</w:t>
            </w:r>
            <w:r w:rsidR="00B52FF6">
              <w:rPr>
                <w:noProof/>
                <w:webHidden/>
              </w:rPr>
              <w:fldChar w:fldCharType="end"/>
            </w:r>
          </w:hyperlink>
        </w:p>
        <w:p w14:paraId="0782B8AE" w14:textId="02FC7B73" w:rsidR="00B52FF6" w:rsidRDefault="004A772F">
          <w:pPr>
            <w:pStyle w:val="TOC1"/>
            <w:tabs>
              <w:tab w:val="right" w:leader="dot" w:pos="9350"/>
            </w:tabs>
            <w:rPr>
              <w:rFonts w:asciiTheme="minorHAnsi" w:eastAsiaTheme="minorEastAsia" w:hAnsiTheme="minorHAnsi"/>
              <w:noProof/>
            </w:rPr>
          </w:pPr>
          <w:hyperlink w:anchor="_Toc82090409" w:history="1">
            <w:r w:rsidR="00B52FF6" w:rsidRPr="00701187">
              <w:rPr>
                <w:rStyle w:val="Hyperlink"/>
                <w:noProof/>
              </w:rPr>
              <w:t>5 Bibliography</w:t>
            </w:r>
            <w:r w:rsidR="00B52FF6">
              <w:rPr>
                <w:noProof/>
                <w:webHidden/>
              </w:rPr>
              <w:tab/>
            </w:r>
            <w:r w:rsidR="00B52FF6">
              <w:rPr>
                <w:noProof/>
                <w:webHidden/>
              </w:rPr>
              <w:fldChar w:fldCharType="begin"/>
            </w:r>
            <w:r w:rsidR="00B52FF6">
              <w:rPr>
                <w:noProof/>
                <w:webHidden/>
              </w:rPr>
              <w:instrText xml:space="preserve"> PAGEREF _Toc82090409 \h </w:instrText>
            </w:r>
            <w:r w:rsidR="00B52FF6">
              <w:rPr>
                <w:noProof/>
                <w:webHidden/>
              </w:rPr>
            </w:r>
            <w:r w:rsidR="00B52FF6">
              <w:rPr>
                <w:noProof/>
                <w:webHidden/>
              </w:rPr>
              <w:fldChar w:fldCharType="separate"/>
            </w:r>
            <w:r w:rsidR="00B52FF6">
              <w:rPr>
                <w:noProof/>
                <w:webHidden/>
              </w:rPr>
              <w:t>19</w:t>
            </w:r>
            <w:r w:rsidR="00B52FF6">
              <w:rPr>
                <w:noProof/>
                <w:webHidden/>
              </w:rPr>
              <w:fldChar w:fldCharType="end"/>
            </w:r>
          </w:hyperlink>
        </w:p>
        <w:p w14:paraId="771DB43A" w14:textId="3CF392EC" w:rsidR="00B52FF6" w:rsidRDefault="00B52FF6">
          <w:r>
            <w:fldChar w:fldCharType="end"/>
          </w:r>
        </w:p>
      </w:sdtContent>
    </w:sdt>
    <w:p w14:paraId="020B9E9C" w14:textId="41F1716A" w:rsidR="00274437" w:rsidRDefault="00274437" w:rsidP="00274437">
      <w:pPr>
        <w:rPr>
          <w:rFonts w:ascii="Arial" w:hAnsi="Arial" w:cs="Arial"/>
          <w:sz w:val="20"/>
          <w:szCs w:val="20"/>
        </w:rPr>
      </w:pPr>
    </w:p>
    <w:p w14:paraId="6698B44A" w14:textId="360DA95D" w:rsidR="005B50A3" w:rsidRDefault="005B50A3" w:rsidP="00274437">
      <w:pPr>
        <w:rPr>
          <w:rFonts w:ascii="Arial" w:hAnsi="Arial" w:cs="Arial"/>
          <w:sz w:val="20"/>
          <w:szCs w:val="20"/>
        </w:rPr>
      </w:pPr>
    </w:p>
    <w:p w14:paraId="452718AC" w14:textId="73E65950" w:rsidR="005B50A3" w:rsidRDefault="005B50A3" w:rsidP="00274437">
      <w:pPr>
        <w:rPr>
          <w:rFonts w:ascii="Arial" w:hAnsi="Arial" w:cs="Arial"/>
          <w:sz w:val="20"/>
          <w:szCs w:val="20"/>
        </w:rPr>
      </w:pPr>
    </w:p>
    <w:p w14:paraId="66FD4034" w14:textId="012649D9" w:rsidR="005B50A3" w:rsidRDefault="005B50A3" w:rsidP="00274437">
      <w:pPr>
        <w:rPr>
          <w:rFonts w:ascii="Arial" w:hAnsi="Arial" w:cs="Arial"/>
          <w:sz w:val="20"/>
          <w:szCs w:val="20"/>
        </w:rPr>
      </w:pPr>
    </w:p>
    <w:p w14:paraId="34EBB4B1" w14:textId="4D3BDAEF" w:rsidR="005B50A3" w:rsidRDefault="005B50A3" w:rsidP="00274437">
      <w:pPr>
        <w:rPr>
          <w:rFonts w:ascii="Arial" w:hAnsi="Arial" w:cs="Arial"/>
          <w:sz w:val="20"/>
          <w:szCs w:val="20"/>
        </w:rPr>
      </w:pPr>
    </w:p>
    <w:p w14:paraId="0C4AF40B" w14:textId="6D281A2E" w:rsidR="005B50A3" w:rsidRDefault="005B50A3" w:rsidP="00274437">
      <w:pPr>
        <w:rPr>
          <w:rFonts w:ascii="Arial" w:hAnsi="Arial" w:cs="Arial"/>
          <w:sz w:val="20"/>
          <w:szCs w:val="20"/>
        </w:rPr>
      </w:pPr>
    </w:p>
    <w:p w14:paraId="3681569D" w14:textId="6E8DE73F" w:rsidR="005B50A3" w:rsidRDefault="005B50A3" w:rsidP="00274437">
      <w:pPr>
        <w:rPr>
          <w:rFonts w:ascii="Arial" w:hAnsi="Arial" w:cs="Arial"/>
          <w:sz w:val="20"/>
          <w:szCs w:val="20"/>
        </w:rPr>
      </w:pPr>
    </w:p>
    <w:p w14:paraId="54ED5C76" w14:textId="7A34910F" w:rsidR="005B50A3" w:rsidRDefault="005B50A3" w:rsidP="00274437">
      <w:pPr>
        <w:rPr>
          <w:rFonts w:ascii="Arial" w:hAnsi="Arial" w:cs="Arial"/>
          <w:sz w:val="20"/>
          <w:szCs w:val="20"/>
        </w:rPr>
      </w:pPr>
    </w:p>
    <w:p w14:paraId="4DADF352" w14:textId="42A234E9" w:rsidR="005B50A3" w:rsidRDefault="005B50A3" w:rsidP="00274437">
      <w:pPr>
        <w:rPr>
          <w:rFonts w:ascii="Arial" w:hAnsi="Arial" w:cs="Arial"/>
          <w:sz w:val="20"/>
          <w:szCs w:val="20"/>
        </w:rPr>
      </w:pPr>
    </w:p>
    <w:p w14:paraId="63D493E0" w14:textId="102F3E6A" w:rsidR="005B50A3" w:rsidRDefault="005B50A3" w:rsidP="00274437">
      <w:pPr>
        <w:rPr>
          <w:rFonts w:ascii="Arial" w:hAnsi="Arial" w:cs="Arial"/>
          <w:sz w:val="20"/>
          <w:szCs w:val="20"/>
        </w:rPr>
      </w:pPr>
    </w:p>
    <w:p w14:paraId="7F7A2532" w14:textId="2FCE1056" w:rsidR="005B50A3" w:rsidRDefault="005B50A3" w:rsidP="00274437">
      <w:pPr>
        <w:rPr>
          <w:rFonts w:ascii="Arial" w:hAnsi="Arial" w:cs="Arial"/>
          <w:sz w:val="20"/>
          <w:szCs w:val="20"/>
        </w:rPr>
      </w:pPr>
    </w:p>
    <w:p w14:paraId="50251259" w14:textId="771B246E" w:rsidR="00E448C4" w:rsidRDefault="00E448C4" w:rsidP="00274437">
      <w:pPr>
        <w:rPr>
          <w:rFonts w:ascii="Arial" w:hAnsi="Arial" w:cs="Arial"/>
          <w:sz w:val="20"/>
          <w:szCs w:val="20"/>
        </w:rPr>
      </w:pPr>
    </w:p>
    <w:p w14:paraId="6751782F" w14:textId="3B7C9664" w:rsidR="0013671F" w:rsidRDefault="0013671F" w:rsidP="00274437">
      <w:pPr>
        <w:rPr>
          <w:rFonts w:ascii="Arial" w:hAnsi="Arial" w:cs="Arial"/>
          <w:sz w:val="20"/>
          <w:szCs w:val="20"/>
        </w:rPr>
      </w:pPr>
    </w:p>
    <w:p w14:paraId="35A242B6" w14:textId="2CE6056D" w:rsidR="0013671F" w:rsidRDefault="0013671F" w:rsidP="00274437">
      <w:pPr>
        <w:rPr>
          <w:rFonts w:ascii="Arial" w:hAnsi="Arial" w:cs="Arial"/>
          <w:sz w:val="20"/>
          <w:szCs w:val="20"/>
        </w:rPr>
      </w:pPr>
    </w:p>
    <w:p w14:paraId="59506B29" w14:textId="2B18AD3E" w:rsidR="00B52FF6" w:rsidRDefault="00B52FF6" w:rsidP="00274437">
      <w:pPr>
        <w:rPr>
          <w:rFonts w:ascii="Arial" w:hAnsi="Arial" w:cs="Arial"/>
          <w:sz w:val="20"/>
          <w:szCs w:val="20"/>
        </w:rPr>
      </w:pPr>
    </w:p>
    <w:p w14:paraId="6CBADB6B" w14:textId="77777777" w:rsidR="00B52FF6" w:rsidRDefault="00B52FF6" w:rsidP="00274437">
      <w:pPr>
        <w:rPr>
          <w:rFonts w:ascii="Arial" w:hAnsi="Arial" w:cs="Arial"/>
          <w:sz w:val="20"/>
          <w:szCs w:val="20"/>
        </w:rPr>
      </w:pPr>
    </w:p>
    <w:p w14:paraId="340556FE" w14:textId="77777777" w:rsidR="00B52FF6" w:rsidRDefault="00B52FF6" w:rsidP="00274437">
      <w:pPr>
        <w:rPr>
          <w:rFonts w:ascii="Arial" w:hAnsi="Arial" w:cs="Arial"/>
          <w:sz w:val="20"/>
          <w:szCs w:val="20"/>
        </w:rPr>
      </w:pPr>
    </w:p>
    <w:p w14:paraId="7B186296" w14:textId="0DF316E1" w:rsidR="002959A8" w:rsidRPr="00E448C4" w:rsidRDefault="00E448C4" w:rsidP="00B52FF6">
      <w:pPr>
        <w:pStyle w:val="GMIHeading1"/>
      </w:pPr>
      <w:bookmarkStart w:id="0" w:name="_Toc77693615"/>
      <w:bookmarkStart w:id="1" w:name="_Toc82090365"/>
      <w:r>
        <w:lastRenderedPageBreak/>
        <w:t xml:space="preserve">1 </w:t>
      </w:r>
      <w:bookmarkEnd w:id="0"/>
      <w:r w:rsidR="00FB7EA4">
        <w:t>Overview</w:t>
      </w:r>
      <w:bookmarkEnd w:id="1"/>
    </w:p>
    <w:p w14:paraId="718AFC31" w14:textId="695ED829" w:rsidR="002959A8" w:rsidRPr="00274437" w:rsidRDefault="00E2139C" w:rsidP="00E2139C">
      <w:pPr>
        <w:pStyle w:val="GMIHeading2"/>
      </w:pPr>
      <w:bookmarkStart w:id="2" w:name="_Toc77693616"/>
      <w:bookmarkStart w:id="3" w:name="_Toc82090366"/>
      <w:r>
        <w:t xml:space="preserve">1.1 </w:t>
      </w:r>
      <w:r w:rsidR="002959A8" w:rsidRPr="00274437">
        <w:t>Organization of User Manual</w:t>
      </w:r>
      <w:bookmarkEnd w:id="2"/>
      <w:bookmarkEnd w:id="3"/>
    </w:p>
    <w:p w14:paraId="43AA7EE4" w14:textId="3DB2938C" w:rsidR="00B42C17" w:rsidRPr="00E448C4" w:rsidRDefault="002959A8" w:rsidP="00E448C4">
      <w:r w:rsidRPr="00E448C4">
        <w:t xml:space="preserve">This User Manual accompanies </w:t>
      </w:r>
      <w:r w:rsidR="00B42C17" w:rsidRPr="00E448C4">
        <w:t>Version 3</w:t>
      </w:r>
      <w:r w:rsidR="002D127B" w:rsidRPr="00E448C4">
        <w:t>.0</w:t>
      </w:r>
      <w:r w:rsidR="00B42C17" w:rsidRPr="00E448C4">
        <w:t xml:space="preserve"> of the OrganEcs Tool, which has two separate editions: an Anaerobic Digestion Edition and a Compost Edition. OrganEcs</w:t>
      </w:r>
      <w:r w:rsidRPr="00E448C4">
        <w:t xml:space="preserve"> </w:t>
      </w:r>
      <w:r w:rsidR="009A7D25">
        <w:t>was</w:t>
      </w:r>
      <w:r w:rsidR="009A7D25" w:rsidRPr="009A7D25">
        <w:t xml:space="preserve"> developed by the U.S. Environmental Protection Agency under the auspices of the Global Methane Initiative and in support of the Climate and Clean Air Coalition</w:t>
      </w:r>
      <w:r w:rsidR="009A7D25">
        <w:t>.</w:t>
      </w:r>
    </w:p>
    <w:p w14:paraId="3D0BFCDF" w14:textId="1D9927C2" w:rsidR="000C0411" w:rsidRPr="00E448C4" w:rsidRDefault="00B42C17" w:rsidP="007C1321">
      <w:pPr>
        <w:rPr>
          <w:rFonts w:cs="Arial"/>
        </w:rPr>
      </w:pPr>
      <w:r w:rsidRPr="00E448C4">
        <w:rPr>
          <w:rFonts w:cs="Arial"/>
        </w:rPr>
        <w:t xml:space="preserve">OrganEcs is a tool for estimating the costs associated with organic waste management projects. It provides planning-level assistance to local governments, waste professionals, policymakers, facility operators, and project developers to help them make financial decisions about their potential organic projects. Specifically, the tool assists users in determining the expected </w:t>
      </w:r>
      <w:r w:rsidR="007C1321" w:rsidRPr="00E448C4">
        <w:rPr>
          <w:rFonts w:eastAsia="Calibri" w:cs="Arial"/>
        </w:rPr>
        <w:t>Internal Rate of Return</w:t>
      </w:r>
      <w:r w:rsidR="006C0556" w:rsidRPr="00E448C4">
        <w:rPr>
          <w:rFonts w:cs="Arial"/>
        </w:rPr>
        <w:t xml:space="preserve"> (IRR)</w:t>
      </w:r>
      <w:r w:rsidRPr="00E448C4">
        <w:rPr>
          <w:rFonts w:cs="Arial"/>
        </w:rPr>
        <w:t xml:space="preserve"> given user inputs for a composting project or an anaerobic digestion project.</w:t>
      </w:r>
      <w:r w:rsidR="007C1321" w:rsidRPr="00E448C4">
        <w:rPr>
          <w:rFonts w:cs="Arial"/>
        </w:rPr>
        <w:t xml:space="preserve"> </w:t>
      </w:r>
      <w:r w:rsidR="000C0411" w:rsidRPr="00E448C4">
        <w:rPr>
          <w:rFonts w:cs="Arial"/>
        </w:rPr>
        <w:t>Model outputs should be viewed as preliminary results that can be used for planning purposes. These estimates should be verified through detailed feasibility studies prior to project development, or through the solicitation of bids from qualified firms.</w:t>
      </w:r>
    </w:p>
    <w:p w14:paraId="664E20B7" w14:textId="39E909B0" w:rsidR="002959A8" w:rsidRPr="00E448C4" w:rsidRDefault="002959A8" w:rsidP="002959A8">
      <w:pPr>
        <w:rPr>
          <w:rFonts w:cs="Arial"/>
        </w:rPr>
      </w:pPr>
      <w:r w:rsidRPr="00E448C4">
        <w:rPr>
          <w:rFonts w:cs="Arial"/>
        </w:rPr>
        <w:t>This manual contains:</w:t>
      </w:r>
    </w:p>
    <w:p w14:paraId="5E4A021E" w14:textId="4C74D2DD" w:rsidR="002959A8" w:rsidRPr="00E448C4" w:rsidRDefault="002959A8" w:rsidP="002959A8">
      <w:pPr>
        <w:pStyle w:val="ListParagraph"/>
        <w:numPr>
          <w:ilvl w:val="0"/>
          <w:numId w:val="3"/>
        </w:numPr>
        <w:spacing w:after="0"/>
        <w:rPr>
          <w:rFonts w:cs="Arial"/>
        </w:rPr>
      </w:pPr>
      <w:r w:rsidRPr="00E448C4">
        <w:rPr>
          <w:rFonts w:cs="Arial"/>
        </w:rPr>
        <w:t>An overview of the tool</w:t>
      </w:r>
      <w:r w:rsidR="00016A6C" w:rsidRPr="00E448C4">
        <w:rPr>
          <w:rFonts w:cs="Arial"/>
        </w:rPr>
        <w:t>, its design, and important terminology</w:t>
      </w:r>
      <w:r w:rsidRPr="00E448C4">
        <w:rPr>
          <w:rFonts w:cs="Arial"/>
        </w:rPr>
        <w:t xml:space="preserve"> (Section 1), </w:t>
      </w:r>
    </w:p>
    <w:p w14:paraId="5840197B" w14:textId="68EA9A1A" w:rsidR="002959A8" w:rsidRPr="00E448C4" w:rsidRDefault="002959A8" w:rsidP="002959A8">
      <w:pPr>
        <w:pStyle w:val="ListParagraph"/>
        <w:numPr>
          <w:ilvl w:val="0"/>
          <w:numId w:val="3"/>
        </w:numPr>
        <w:spacing w:after="0"/>
        <w:rPr>
          <w:rFonts w:cs="Arial"/>
        </w:rPr>
      </w:pPr>
      <w:r w:rsidRPr="00E448C4">
        <w:rPr>
          <w:rFonts w:cs="Arial"/>
        </w:rPr>
        <w:t>Detailed documentation on how to use the</w:t>
      </w:r>
      <w:r w:rsidR="00B42C17" w:rsidRPr="00E448C4">
        <w:rPr>
          <w:rFonts w:cs="Arial"/>
        </w:rPr>
        <w:t xml:space="preserve"> Anaerobic Digestion edition</w:t>
      </w:r>
      <w:r w:rsidRPr="00E448C4">
        <w:rPr>
          <w:rFonts w:cs="Arial"/>
        </w:rPr>
        <w:t xml:space="preserve"> and interpret results (Section 2),</w:t>
      </w:r>
    </w:p>
    <w:p w14:paraId="0B26CDE9" w14:textId="00D18602" w:rsidR="00B42C17" w:rsidRPr="00E448C4" w:rsidRDefault="00B42C17" w:rsidP="00B42C17">
      <w:pPr>
        <w:pStyle w:val="ListParagraph"/>
        <w:numPr>
          <w:ilvl w:val="0"/>
          <w:numId w:val="3"/>
        </w:numPr>
        <w:spacing w:after="0"/>
        <w:rPr>
          <w:rFonts w:cs="Arial"/>
        </w:rPr>
      </w:pPr>
      <w:r w:rsidRPr="00E448C4">
        <w:rPr>
          <w:rFonts w:cs="Arial"/>
        </w:rPr>
        <w:t>Detailed documentation on how to use the Compost edition and interpret results (Section</w:t>
      </w:r>
      <w:r w:rsidR="00822BF3" w:rsidRPr="00E448C4">
        <w:rPr>
          <w:rFonts w:cs="Arial"/>
        </w:rPr>
        <w:t> </w:t>
      </w:r>
      <w:r w:rsidRPr="00E448C4">
        <w:rPr>
          <w:rFonts w:cs="Arial"/>
        </w:rPr>
        <w:t>3),</w:t>
      </w:r>
    </w:p>
    <w:p w14:paraId="2E1E62B2" w14:textId="0B554DAB" w:rsidR="002959A8" w:rsidRPr="00E448C4" w:rsidRDefault="002959A8" w:rsidP="002959A8">
      <w:pPr>
        <w:pStyle w:val="ListParagraph"/>
        <w:numPr>
          <w:ilvl w:val="0"/>
          <w:numId w:val="3"/>
        </w:numPr>
        <w:spacing w:after="0"/>
        <w:rPr>
          <w:rFonts w:cs="Arial"/>
        </w:rPr>
      </w:pPr>
      <w:r w:rsidRPr="00E448C4">
        <w:rPr>
          <w:rFonts w:cs="Arial"/>
        </w:rPr>
        <w:t xml:space="preserve">Explanation of the tool’s assumptions, methodology, and limitations (Section </w:t>
      </w:r>
      <w:r w:rsidR="00B42C17" w:rsidRPr="00E448C4">
        <w:rPr>
          <w:rFonts w:cs="Arial"/>
        </w:rPr>
        <w:t>4</w:t>
      </w:r>
      <w:r w:rsidRPr="00E448C4">
        <w:rPr>
          <w:rFonts w:cs="Arial"/>
        </w:rPr>
        <w:t xml:space="preserve">), </w:t>
      </w:r>
      <w:r w:rsidR="00865BEE" w:rsidRPr="00E448C4">
        <w:rPr>
          <w:rFonts w:cs="Arial"/>
        </w:rPr>
        <w:t>and</w:t>
      </w:r>
    </w:p>
    <w:p w14:paraId="6333CD7D" w14:textId="02AF1A4E" w:rsidR="00B42C17" w:rsidRPr="00E448C4" w:rsidRDefault="002959A8" w:rsidP="00C810F4">
      <w:pPr>
        <w:pStyle w:val="ListParagraph"/>
        <w:numPr>
          <w:ilvl w:val="0"/>
          <w:numId w:val="3"/>
        </w:numPr>
        <w:spacing w:after="0"/>
        <w:rPr>
          <w:rFonts w:cs="Arial"/>
        </w:rPr>
      </w:pPr>
      <w:r w:rsidRPr="00E448C4">
        <w:rPr>
          <w:rFonts w:cs="Arial"/>
        </w:rPr>
        <w:t xml:space="preserve">A list of sources uses to develop this user manual (Section </w:t>
      </w:r>
      <w:r w:rsidR="00865BEE" w:rsidRPr="00E448C4">
        <w:rPr>
          <w:rFonts w:cs="Arial"/>
        </w:rPr>
        <w:t>5</w:t>
      </w:r>
      <w:r w:rsidRPr="00E448C4">
        <w:rPr>
          <w:rFonts w:cs="Arial"/>
        </w:rPr>
        <w:t>)</w:t>
      </w:r>
    </w:p>
    <w:p w14:paraId="65B05F14" w14:textId="77777777" w:rsidR="00E448C4" w:rsidRDefault="00E448C4" w:rsidP="00E448C4">
      <w:pPr>
        <w:pStyle w:val="GMISub-Heading"/>
      </w:pPr>
    </w:p>
    <w:p w14:paraId="46362B6C" w14:textId="2C8A1DB7" w:rsidR="00274437" w:rsidRPr="00274437" w:rsidRDefault="00E448C4" w:rsidP="00E2139C">
      <w:pPr>
        <w:pStyle w:val="GMIHeading2"/>
      </w:pPr>
      <w:bookmarkStart w:id="4" w:name="_Toc82090367"/>
      <w:r>
        <w:t xml:space="preserve">1.2 </w:t>
      </w:r>
      <w:r w:rsidR="00274437" w:rsidRPr="00274437">
        <w:t>Organization of Spreadsheet Tools</w:t>
      </w:r>
      <w:bookmarkEnd w:id="4"/>
    </w:p>
    <w:p w14:paraId="7FF22AE9" w14:textId="010E99D3" w:rsidR="00B42C17" w:rsidRPr="00E448C4" w:rsidRDefault="00B42C17" w:rsidP="00E2139C">
      <w:r w:rsidRPr="00E448C4">
        <w:t xml:space="preserve">OrganEcs tabs are categorized in </w:t>
      </w:r>
      <w:r w:rsidR="00A80C75" w:rsidRPr="00E448C4">
        <w:t xml:space="preserve">six </w:t>
      </w:r>
      <w:r w:rsidRPr="00E448C4">
        <w:t xml:space="preserve">sections (outline below). </w:t>
      </w:r>
      <w:r w:rsidR="007C1321" w:rsidRPr="00E448C4">
        <w:t xml:space="preserve">The </w:t>
      </w:r>
      <w:r w:rsidR="002D127B" w:rsidRPr="00E448C4">
        <w:t xml:space="preserve">four </w:t>
      </w:r>
      <w:r w:rsidR="007C1321" w:rsidRPr="00E448C4">
        <w:t>b</w:t>
      </w:r>
      <w:r w:rsidRPr="00E448C4">
        <w:rPr>
          <w:bCs/>
        </w:rPr>
        <w:t>rown</w:t>
      </w:r>
      <w:r w:rsidRPr="00E448C4">
        <w:rPr>
          <w:b/>
          <w:bCs/>
        </w:rPr>
        <w:t xml:space="preserve"> </w:t>
      </w:r>
      <w:r w:rsidRPr="00E448C4">
        <w:t xml:space="preserve">tabs provide instructions. Users are required to enter data in </w:t>
      </w:r>
      <w:r w:rsidR="007C1321" w:rsidRPr="00E448C4">
        <w:t>all three</w:t>
      </w:r>
      <w:r w:rsidRPr="00E448C4">
        <w:t xml:space="preserve"> blue tabs. </w:t>
      </w:r>
      <w:r w:rsidR="007C1321" w:rsidRPr="00E448C4">
        <w:t xml:space="preserve">The yellow tab contains default values, which users may </w:t>
      </w:r>
      <w:r w:rsidR="009A0A90" w:rsidRPr="00E448C4">
        <w:t>choose to use</w:t>
      </w:r>
      <w:r w:rsidR="007C1321" w:rsidRPr="00E448C4">
        <w:t xml:space="preserve"> or </w:t>
      </w:r>
      <w:r w:rsidR="009A0A90" w:rsidRPr="00E448C4">
        <w:t>alter</w:t>
      </w:r>
      <w:r w:rsidR="007C1321" w:rsidRPr="00E448C4">
        <w:t xml:space="preserve">. </w:t>
      </w:r>
      <w:r w:rsidRPr="00E448C4">
        <w:t xml:space="preserve">The black tab </w:t>
      </w:r>
      <w:r w:rsidR="007C1321" w:rsidRPr="00E448C4">
        <w:t>summarizes and visualizes the</w:t>
      </w:r>
      <w:r w:rsidRPr="00E448C4">
        <w:t xml:space="preserve"> tool's outputs. The </w:t>
      </w:r>
      <w:r w:rsidR="007C1321" w:rsidRPr="00E448C4">
        <w:t>two</w:t>
      </w:r>
      <w:r w:rsidRPr="00E448C4">
        <w:t xml:space="preserve"> </w:t>
      </w:r>
      <w:r w:rsidR="007C1321" w:rsidRPr="00E448C4">
        <w:t>gray</w:t>
      </w:r>
      <w:r w:rsidRPr="00E448C4">
        <w:t xml:space="preserve"> tabs </w:t>
      </w:r>
      <w:r w:rsidR="007C1321" w:rsidRPr="00E448C4">
        <w:t xml:space="preserve">show the hypothetical project’s estimated annual Income Statement and Balance Sheet, which is used to determine the </w:t>
      </w:r>
      <w:r w:rsidR="00857F75" w:rsidRPr="00E448C4">
        <w:t>IRR</w:t>
      </w:r>
      <w:r w:rsidR="007C1321" w:rsidRPr="00E448C4">
        <w:t xml:space="preserve">. Finally, the </w:t>
      </w:r>
      <w:r w:rsidR="00A80C75" w:rsidRPr="00E448C4">
        <w:t xml:space="preserve">two </w:t>
      </w:r>
      <w:r w:rsidR="007C1321" w:rsidRPr="00E448C4">
        <w:t>green tabs contain assumptions and references.</w:t>
      </w:r>
    </w:p>
    <w:p w14:paraId="2D458FB3" w14:textId="6485EF96" w:rsidR="009B1AF1" w:rsidRPr="00E448C4" w:rsidRDefault="000835A6" w:rsidP="004E1E65">
      <w:pPr>
        <w:spacing w:after="0"/>
        <w:rPr>
          <w:rFonts w:eastAsia="Calibri" w:cs="Arial"/>
        </w:rPr>
      </w:pPr>
      <w:r w:rsidRPr="00E448C4">
        <w:rPr>
          <w:rFonts w:eastAsia="Calibri" w:cs="Arial"/>
        </w:rPr>
        <w:br w:type="page"/>
      </w: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882636" w:rsidRPr="00E448C4" w14:paraId="0E6E3A5F" w14:textId="77777777" w:rsidTr="00862245">
        <w:tc>
          <w:tcPr>
            <w:tcW w:w="4950" w:type="dxa"/>
          </w:tcPr>
          <w:p w14:paraId="373360C1" w14:textId="14051C36" w:rsidR="00882636" w:rsidRPr="00E448C4" w:rsidRDefault="00882636" w:rsidP="00882636">
            <w:pPr>
              <w:jc w:val="center"/>
              <w:rPr>
                <w:rFonts w:eastAsia="Calibri" w:cs="Arial"/>
                <w:b/>
              </w:rPr>
            </w:pPr>
            <w:r w:rsidRPr="00E448C4">
              <w:rPr>
                <w:rFonts w:eastAsia="Calibri" w:cs="Arial"/>
                <w:b/>
              </w:rPr>
              <w:lastRenderedPageBreak/>
              <w:t>Anaerobic Digestion Edition</w:t>
            </w:r>
          </w:p>
        </w:tc>
        <w:tc>
          <w:tcPr>
            <w:tcW w:w="4400" w:type="dxa"/>
          </w:tcPr>
          <w:p w14:paraId="0B05D214" w14:textId="77777777" w:rsidR="00882636" w:rsidRPr="00E448C4" w:rsidRDefault="00882636" w:rsidP="00882636">
            <w:pPr>
              <w:jc w:val="center"/>
              <w:rPr>
                <w:rFonts w:eastAsia="Calibri" w:cs="Arial"/>
                <w:b/>
              </w:rPr>
            </w:pPr>
            <w:r w:rsidRPr="00E448C4">
              <w:rPr>
                <w:rFonts w:eastAsia="Calibri" w:cs="Arial"/>
                <w:b/>
              </w:rPr>
              <w:t>Compost Edition</w:t>
            </w:r>
          </w:p>
          <w:p w14:paraId="49138F53" w14:textId="47650F39" w:rsidR="00B330C7" w:rsidRPr="00E448C4" w:rsidRDefault="00B330C7" w:rsidP="00882636">
            <w:pPr>
              <w:jc w:val="center"/>
              <w:rPr>
                <w:rFonts w:eastAsia="Calibri" w:cs="Arial"/>
                <w:b/>
                <w:color w:val="DBAD4F"/>
              </w:rPr>
            </w:pPr>
          </w:p>
        </w:tc>
      </w:tr>
      <w:tr w:rsidR="00882636" w:rsidRPr="00E448C4" w14:paraId="467A0B56" w14:textId="77777777" w:rsidTr="00862245">
        <w:tc>
          <w:tcPr>
            <w:tcW w:w="4950" w:type="dxa"/>
          </w:tcPr>
          <w:p w14:paraId="005933E2" w14:textId="77777777" w:rsidR="00882636" w:rsidRPr="00E448C4" w:rsidRDefault="00882636" w:rsidP="00882636">
            <w:pPr>
              <w:rPr>
                <w:rFonts w:eastAsia="Calibri" w:cs="Arial"/>
                <w:b/>
                <w:color w:val="DBAD4F"/>
              </w:rPr>
            </w:pPr>
            <w:r w:rsidRPr="00E448C4">
              <w:rPr>
                <w:rFonts w:eastAsia="Calibri" w:cs="Arial"/>
                <w:b/>
                <w:color w:val="DBAD4F"/>
              </w:rPr>
              <w:t>Basic Tool Information</w:t>
            </w:r>
          </w:p>
          <w:p w14:paraId="6B57CC5F" w14:textId="77777777" w:rsidR="00882636" w:rsidRPr="00E448C4" w:rsidRDefault="00882636" w:rsidP="00882636">
            <w:pPr>
              <w:rPr>
                <w:rFonts w:eastAsia="Calibri" w:cs="Arial"/>
              </w:rPr>
            </w:pPr>
            <w:r w:rsidRPr="00E448C4">
              <w:rPr>
                <w:rFonts w:eastAsia="Calibri" w:cs="Arial"/>
              </w:rPr>
              <w:t>1. Title</w:t>
            </w:r>
          </w:p>
          <w:p w14:paraId="6A22D25B" w14:textId="77777777" w:rsidR="00882636" w:rsidRPr="00E448C4" w:rsidRDefault="00882636" w:rsidP="00882636">
            <w:pPr>
              <w:rPr>
                <w:rFonts w:eastAsia="Calibri" w:cs="Arial"/>
              </w:rPr>
            </w:pPr>
            <w:r w:rsidRPr="00E448C4">
              <w:rPr>
                <w:rFonts w:eastAsia="Calibri" w:cs="Arial"/>
              </w:rPr>
              <w:t>2. Contents</w:t>
            </w:r>
          </w:p>
          <w:p w14:paraId="11F7BE92" w14:textId="77777777" w:rsidR="00882636" w:rsidRPr="00E448C4" w:rsidRDefault="00882636" w:rsidP="00882636">
            <w:pPr>
              <w:rPr>
                <w:rFonts w:eastAsia="Calibri" w:cs="Arial"/>
              </w:rPr>
            </w:pPr>
            <w:r w:rsidRPr="00E448C4">
              <w:rPr>
                <w:rFonts w:eastAsia="Calibri" w:cs="Arial"/>
              </w:rPr>
              <w:t>3. Background</w:t>
            </w:r>
          </w:p>
          <w:p w14:paraId="68ECF3C6" w14:textId="77777777" w:rsidR="00882636" w:rsidRPr="00E448C4" w:rsidRDefault="00882636" w:rsidP="00882636">
            <w:pPr>
              <w:rPr>
                <w:rFonts w:eastAsia="Calibri" w:cs="Arial"/>
              </w:rPr>
            </w:pPr>
            <w:r w:rsidRPr="00E448C4">
              <w:rPr>
                <w:rFonts w:eastAsia="Calibri" w:cs="Arial"/>
              </w:rPr>
              <w:t>4. Instructions</w:t>
            </w:r>
          </w:p>
          <w:p w14:paraId="41D7F386" w14:textId="795910F8" w:rsidR="00B330C7" w:rsidRPr="00E448C4" w:rsidRDefault="00B330C7" w:rsidP="00882636">
            <w:pPr>
              <w:rPr>
                <w:rFonts w:eastAsia="Calibri" w:cs="Arial"/>
              </w:rPr>
            </w:pPr>
          </w:p>
        </w:tc>
        <w:tc>
          <w:tcPr>
            <w:tcW w:w="4400" w:type="dxa"/>
          </w:tcPr>
          <w:p w14:paraId="39AE8520" w14:textId="77777777" w:rsidR="00882636" w:rsidRPr="00E448C4" w:rsidRDefault="00882636" w:rsidP="00882636">
            <w:pPr>
              <w:rPr>
                <w:rFonts w:eastAsia="Calibri" w:cs="Arial"/>
                <w:b/>
                <w:color w:val="DBAD4F"/>
              </w:rPr>
            </w:pPr>
            <w:r w:rsidRPr="00E448C4">
              <w:rPr>
                <w:rFonts w:eastAsia="Calibri" w:cs="Arial"/>
                <w:b/>
                <w:color w:val="DBAD4F"/>
              </w:rPr>
              <w:t>Basic Tool Information</w:t>
            </w:r>
          </w:p>
          <w:p w14:paraId="5EE78543" w14:textId="77777777" w:rsidR="00882636" w:rsidRPr="00E448C4" w:rsidRDefault="00882636" w:rsidP="00882636">
            <w:pPr>
              <w:rPr>
                <w:rFonts w:eastAsia="Calibri" w:cs="Arial"/>
              </w:rPr>
            </w:pPr>
            <w:r w:rsidRPr="00E448C4">
              <w:rPr>
                <w:rFonts w:eastAsia="Calibri" w:cs="Arial"/>
              </w:rPr>
              <w:t>1. Title</w:t>
            </w:r>
          </w:p>
          <w:p w14:paraId="72F046C9" w14:textId="77777777" w:rsidR="00882636" w:rsidRPr="00E448C4" w:rsidRDefault="00882636" w:rsidP="00882636">
            <w:pPr>
              <w:rPr>
                <w:rFonts w:eastAsia="Calibri" w:cs="Arial"/>
              </w:rPr>
            </w:pPr>
            <w:r w:rsidRPr="00E448C4">
              <w:rPr>
                <w:rFonts w:eastAsia="Calibri" w:cs="Arial"/>
              </w:rPr>
              <w:t>2. Contents</w:t>
            </w:r>
          </w:p>
          <w:p w14:paraId="06D878FF" w14:textId="77777777" w:rsidR="00882636" w:rsidRPr="00E448C4" w:rsidRDefault="00882636" w:rsidP="00882636">
            <w:pPr>
              <w:rPr>
                <w:rFonts w:eastAsia="Calibri" w:cs="Arial"/>
              </w:rPr>
            </w:pPr>
            <w:r w:rsidRPr="00E448C4">
              <w:rPr>
                <w:rFonts w:eastAsia="Calibri" w:cs="Arial"/>
              </w:rPr>
              <w:t>3. Background</w:t>
            </w:r>
          </w:p>
          <w:p w14:paraId="0F46947F" w14:textId="39A6785F" w:rsidR="00882636" w:rsidRPr="00E448C4" w:rsidRDefault="00882636" w:rsidP="00882636">
            <w:pPr>
              <w:rPr>
                <w:rFonts w:eastAsia="Calibri" w:cs="Arial"/>
              </w:rPr>
            </w:pPr>
            <w:r w:rsidRPr="00E448C4">
              <w:rPr>
                <w:rFonts w:eastAsia="Calibri" w:cs="Arial"/>
              </w:rPr>
              <w:t>4. Instructions</w:t>
            </w:r>
          </w:p>
        </w:tc>
      </w:tr>
      <w:tr w:rsidR="00882636" w:rsidRPr="00E448C4" w14:paraId="346B35C3" w14:textId="77777777" w:rsidTr="00862245">
        <w:tc>
          <w:tcPr>
            <w:tcW w:w="4950" w:type="dxa"/>
          </w:tcPr>
          <w:p w14:paraId="397DDFF4" w14:textId="77777777" w:rsidR="00882636" w:rsidRPr="00E448C4" w:rsidRDefault="00882636" w:rsidP="00882636">
            <w:pPr>
              <w:rPr>
                <w:rFonts w:eastAsia="Calibri" w:cs="Arial"/>
                <w:b/>
                <w:color w:val="25C6FF"/>
              </w:rPr>
            </w:pPr>
            <w:r w:rsidRPr="00E448C4">
              <w:rPr>
                <w:rFonts w:eastAsia="Calibri" w:cs="Arial"/>
                <w:b/>
                <w:color w:val="25C6FF"/>
              </w:rPr>
              <w:t>Data Inputs</w:t>
            </w:r>
          </w:p>
          <w:p w14:paraId="115BFF60" w14:textId="0A478FB4" w:rsidR="00882636" w:rsidRPr="00E448C4" w:rsidRDefault="00882636" w:rsidP="00882636">
            <w:pPr>
              <w:rPr>
                <w:rFonts w:eastAsia="Calibri" w:cs="Arial"/>
              </w:rPr>
            </w:pPr>
            <w:r w:rsidRPr="00E448C4">
              <w:rPr>
                <w:rFonts w:eastAsia="Calibri" w:cs="Arial"/>
              </w:rPr>
              <w:t>5. Facility Inputs</w:t>
            </w:r>
          </w:p>
          <w:p w14:paraId="78CF8ED0" w14:textId="4F573053" w:rsidR="00882636" w:rsidRPr="00E448C4" w:rsidRDefault="00882636" w:rsidP="00882636">
            <w:pPr>
              <w:rPr>
                <w:rFonts w:eastAsia="Calibri" w:cs="Arial"/>
              </w:rPr>
            </w:pPr>
            <w:r w:rsidRPr="00E448C4">
              <w:rPr>
                <w:rFonts w:eastAsia="Calibri" w:cs="Arial"/>
              </w:rPr>
              <w:t>6. Waste Inputs</w:t>
            </w:r>
          </w:p>
          <w:p w14:paraId="6D75320E" w14:textId="77777777" w:rsidR="00882636" w:rsidRPr="00E448C4" w:rsidRDefault="00882636" w:rsidP="00882636">
            <w:pPr>
              <w:rPr>
                <w:rFonts w:eastAsia="Calibri" w:cs="Arial"/>
              </w:rPr>
            </w:pPr>
            <w:r w:rsidRPr="00E448C4">
              <w:rPr>
                <w:rFonts w:eastAsia="Calibri" w:cs="Arial"/>
              </w:rPr>
              <w:t>7. Economic Inputs</w:t>
            </w:r>
          </w:p>
          <w:p w14:paraId="5311AC0C" w14:textId="6550F288" w:rsidR="00B330C7" w:rsidRPr="00E448C4" w:rsidRDefault="00B330C7" w:rsidP="00882636">
            <w:pPr>
              <w:rPr>
                <w:rFonts w:eastAsia="Calibri" w:cs="Arial"/>
              </w:rPr>
            </w:pPr>
          </w:p>
        </w:tc>
        <w:tc>
          <w:tcPr>
            <w:tcW w:w="4400" w:type="dxa"/>
          </w:tcPr>
          <w:p w14:paraId="379A83B3" w14:textId="77777777" w:rsidR="00882636" w:rsidRPr="00E448C4" w:rsidRDefault="00882636" w:rsidP="00882636">
            <w:pPr>
              <w:rPr>
                <w:rFonts w:eastAsia="Calibri" w:cs="Arial"/>
                <w:b/>
                <w:color w:val="25C6FF"/>
              </w:rPr>
            </w:pPr>
            <w:r w:rsidRPr="00E448C4">
              <w:rPr>
                <w:rFonts w:eastAsia="Calibri" w:cs="Arial"/>
                <w:b/>
                <w:color w:val="25C6FF"/>
              </w:rPr>
              <w:t>Data Inputs</w:t>
            </w:r>
          </w:p>
          <w:p w14:paraId="1E943A48" w14:textId="77777777" w:rsidR="00882636" w:rsidRPr="00E448C4" w:rsidRDefault="00882636" w:rsidP="00882636">
            <w:pPr>
              <w:rPr>
                <w:rFonts w:eastAsia="Calibri" w:cs="Arial"/>
              </w:rPr>
            </w:pPr>
            <w:r w:rsidRPr="00E448C4">
              <w:rPr>
                <w:rFonts w:eastAsia="Calibri" w:cs="Arial"/>
              </w:rPr>
              <w:t>5. Facility Inputs</w:t>
            </w:r>
          </w:p>
          <w:p w14:paraId="378CA61C" w14:textId="77777777" w:rsidR="00882636" w:rsidRPr="00E448C4" w:rsidRDefault="00882636" w:rsidP="00882636">
            <w:pPr>
              <w:rPr>
                <w:rFonts w:eastAsia="Calibri" w:cs="Arial"/>
              </w:rPr>
            </w:pPr>
            <w:r w:rsidRPr="00E448C4">
              <w:rPr>
                <w:rFonts w:eastAsia="Calibri" w:cs="Arial"/>
              </w:rPr>
              <w:t>6. Waste Inputs</w:t>
            </w:r>
          </w:p>
          <w:p w14:paraId="32159075" w14:textId="29CD64BA" w:rsidR="00882636" w:rsidRPr="00E448C4" w:rsidRDefault="00882636" w:rsidP="00882636">
            <w:pPr>
              <w:rPr>
                <w:rFonts w:eastAsia="Calibri" w:cs="Arial"/>
              </w:rPr>
            </w:pPr>
            <w:r w:rsidRPr="00E448C4">
              <w:rPr>
                <w:rFonts w:eastAsia="Calibri" w:cs="Arial"/>
              </w:rPr>
              <w:t>7. Economic Inputs</w:t>
            </w:r>
          </w:p>
        </w:tc>
      </w:tr>
      <w:tr w:rsidR="00882636" w:rsidRPr="00E448C4" w14:paraId="70B09277" w14:textId="77777777" w:rsidTr="00862245">
        <w:tc>
          <w:tcPr>
            <w:tcW w:w="4950" w:type="dxa"/>
          </w:tcPr>
          <w:p w14:paraId="17E90234" w14:textId="77777777" w:rsidR="00882636" w:rsidRPr="00E448C4" w:rsidRDefault="00882636" w:rsidP="00882636">
            <w:pPr>
              <w:rPr>
                <w:rFonts w:eastAsia="Calibri" w:cs="Arial"/>
                <w:b/>
                <w:color w:val="FFD966" w:themeColor="accent4" w:themeTint="99"/>
              </w:rPr>
            </w:pPr>
            <w:r w:rsidRPr="00E448C4">
              <w:rPr>
                <w:rFonts w:eastAsia="Calibri" w:cs="Arial"/>
                <w:b/>
                <w:color w:val="FFD966" w:themeColor="accent4" w:themeTint="99"/>
              </w:rPr>
              <w:t>Default Values</w:t>
            </w:r>
          </w:p>
          <w:p w14:paraId="715809B7" w14:textId="77777777" w:rsidR="00882636" w:rsidRPr="00E448C4" w:rsidRDefault="00882636" w:rsidP="00882636">
            <w:pPr>
              <w:rPr>
                <w:rFonts w:eastAsia="Calibri" w:cs="Arial"/>
              </w:rPr>
            </w:pPr>
            <w:r w:rsidRPr="00E448C4">
              <w:rPr>
                <w:rFonts w:eastAsia="Calibri" w:cs="Arial"/>
              </w:rPr>
              <w:t>8. Default Values</w:t>
            </w:r>
          </w:p>
          <w:p w14:paraId="0FFA449F" w14:textId="440E3D72" w:rsidR="00B330C7" w:rsidRPr="00E448C4" w:rsidRDefault="00B330C7" w:rsidP="00882636">
            <w:pPr>
              <w:rPr>
                <w:rFonts w:eastAsia="Calibri" w:cs="Arial"/>
              </w:rPr>
            </w:pPr>
          </w:p>
        </w:tc>
        <w:tc>
          <w:tcPr>
            <w:tcW w:w="4400" w:type="dxa"/>
          </w:tcPr>
          <w:p w14:paraId="3BC5CFEF" w14:textId="5A3FCF4F" w:rsidR="00882636" w:rsidRPr="00E448C4" w:rsidRDefault="00882636" w:rsidP="00882636">
            <w:pPr>
              <w:rPr>
                <w:rFonts w:eastAsia="Calibri" w:cs="Arial"/>
                <w:b/>
                <w:color w:val="FFD966" w:themeColor="accent4" w:themeTint="99"/>
              </w:rPr>
            </w:pPr>
            <w:r w:rsidRPr="00E448C4">
              <w:rPr>
                <w:rFonts w:eastAsia="Calibri" w:cs="Arial"/>
                <w:b/>
                <w:color w:val="FFD966" w:themeColor="accent4" w:themeTint="99"/>
              </w:rPr>
              <w:t>Default Values</w:t>
            </w:r>
          </w:p>
          <w:p w14:paraId="23DFA34F" w14:textId="6A06D074" w:rsidR="00882636" w:rsidRPr="00E448C4" w:rsidRDefault="00882636" w:rsidP="00882636">
            <w:pPr>
              <w:rPr>
                <w:rFonts w:eastAsia="Calibri" w:cs="Arial"/>
              </w:rPr>
            </w:pPr>
            <w:r w:rsidRPr="00E448C4">
              <w:rPr>
                <w:rFonts w:eastAsia="Calibri" w:cs="Arial"/>
              </w:rPr>
              <w:t>8. Default Values</w:t>
            </w:r>
          </w:p>
        </w:tc>
      </w:tr>
      <w:tr w:rsidR="00882636" w:rsidRPr="00E448C4" w14:paraId="338B8CC5" w14:textId="77777777" w:rsidTr="00862245">
        <w:tc>
          <w:tcPr>
            <w:tcW w:w="4950" w:type="dxa"/>
          </w:tcPr>
          <w:p w14:paraId="276F7CE8" w14:textId="1CEF35E8" w:rsidR="00882636" w:rsidRPr="00E448C4" w:rsidRDefault="00882636" w:rsidP="00882636">
            <w:pPr>
              <w:rPr>
                <w:rFonts w:eastAsia="Calibri" w:cs="Arial"/>
                <w:b/>
              </w:rPr>
            </w:pPr>
            <w:r w:rsidRPr="00E448C4">
              <w:rPr>
                <w:rFonts w:eastAsia="Calibri" w:cs="Arial"/>
                <w:b/>
              </w:rPr>
              <w:t>Outputs</w:t>
            </w:r>
          </w:p>
          <w:p w14:paraId="2A0A561F" w14:textId="77777777" w:rsidR="00882636" w:rsidRPr="00E448C4" w:rsidRDefault="00882636" w:rsidP="00882636">
            <w:pPr>
              <w:rPr>
                <w:rFonts w:eastAsia="Calibri" w:cs="Arial"/>
              </w:rPr>
            </w:pPr>
            <w:r w:rsidRPr="00E448C4">
              <w:rPr>
                <w:rFonts w:eastAsia="Calibri" w:cs="Arial"/>
              </w:rPr>
              <w:t>9. Outputs</w:t>
            </w:r>
          </w:p>
          <w:p w14:paraId="40EFD53E" w14:textId="5979A060" w:rsidR="00B330C7" w:rsidRPr="00E448C4" w:rsidRDefault="00B330C7" w:rsidP="00882636">
            <w:pPr>
              <w:rPr>
                <w:rFonts w:eastAsia="Calibri" w:cs="Arial"/>
              </w:rPr>
            </w:pPr>
          </w:p>
        </w:tc>
        <w:tc>
          <w:tcPr>
            <w:tcW w:w="4400" w:type="dxa"/>
          </w:tcPr>
          <w:p w14:paraId="1AE57A74" w14:textId="77777777" w:rsidR="00882636" w:rsidRPr="00E448C4" w:rsidRDefault="00882636" w:rsidP="00882636">
            <w:pPr>
              <w:rPr>
                <w:rFonts w:eastAsia="Calibri" w:cs="Arial"/>
                <w:b/>
              </w:rPr>
            </w:pPr>
            <w:r w:rsidRPr="00E448C4">
              <w:rPr>
                <w:rFonts w:eastAsia="Calibri" w:cs="Arial"/>
                <w:b/>
              </w:rPr>
              <w:t>Outputs</w:t>
            </w:r>
          </w:p>
          <w:p w14:paraId="7E1F3098" w14:textId="2179ED19" w:rsidR="00882636" w:rsidRPr="00E448C4" w:rsidRDefault="00882636" w:rsidP="00882636">
            <w:pPr>
              <w:rPr>
                <w:rFonts w:eastAsia="Calibri" w:cs="Arial"/>
              </w:rPr>
            </w:pPr>
            <w:r w:rsidRPr="00E448C4">
              <w:rPr>
                <w:rFonts w:eastAsia="Calibri" w:cs="Arial"/>
              </w:rPr>
              <w:t>9. Outputs</w:t>
            </w:r>
          </w:p>
        </w:tc>
      </w:tr>
      <w:tr w:rsidR="00882636" w:rsidRPr="00E448C4" w14:paraId="40429EDC" w14:textId="77777777" w:rsidTr="00862245">
        <w:tc>
          <w:tcPr>
            <w:tcW w:w="4950" w:type="dxa"/>
          </w:tcPr>
          <w:p w14:paraId="781366E2" w14:textId="79BB3248" w:rsidR="00882636" w:rsidRPr="00E448C4" w:rsidRDefault="00862245" w:rsidP="00B330C7">
            <w:pPr>
              <w:rPr>
                <w:rFonts w:eastAsia="Calibri" w:cs="Arial"/>
                <w:b/>
                <w:color w:val="808080"/>
              </w:rPr>
            </w:pPr>
            <w:r w:rsidRPr="00E448C4">
              <w:rPr>
                <w:rFonts w:eastAsia="Calibri" w:cs="Arial"/>
                <w:b/>
                <w:color w:val="808080"/>
              </w:rPr>
              <w:t>Organic Waste Treatment Technologies</w:t>
            </w:r>
          </w:p>
          <w:p w14:paraId="1D2CFB43" w14:textId="03879ED6" w:rsidR="00882636" w:rsidRPr="00E448C4" w:rsidRDefault="00882636" w:rsidP="00882636">
            <w:pPr>
              <w:rPr>
                <w:rFonts w:eastAsia="Calibri" w:cs="Arial"/>
              </w:rPr>
            </w:pPr>
            <w:r w:rsidRPr="00E448C4">
              <w:rPr>
                <w:rFonts w:eastAsia="Calibri" w:cs="Arial"/>
              </w:rPr>
              <w:t>10. Wet AD</w:t>
            </w:r>
          </w:p>
          <w:p w14:paraId="55BF0D2E" w14:textId="77777777" w:rsidR="00882636" w:rsidRPr="00E448C4" w:rsidRDefault="00882636" w:rsidP="00882636">
            <w:pPr>
              <w:rPr>
                <w:rFonts w:eastAsia="Calibri" w:cs="Arial"/>
              </w:rPr>
            </w:pPr>
            <w:r w:rsidRPr="00E448C4">
              <w:rPr>
                <w:rFonts w:eastAsia="Calibri" w:cs="Arial"/>
              </w:rPr>
              <w:t>11. Dry AD</w:t>
            </w:r>
          </w:p>
          <w:p w14:paraId="0BA41F16" w14:textId="6996B588" w:rsidR="00B330C7" w:rsidRPr="00E448C4" w:rsidRDefault="00B330C7" w:rsidP="00882636">
            <w:pPr>
              <w:rPr>
                <w:rFonts w:eastAsia="Calibri" w:cs="Arial"/>
              </w:rPr>
            </w:pPr>
          </w:p>
        </w:tc>
        <w:tc>
          <w:tcPr>
            <w:tcW w:w="4400" w:type="dxa"/>
            <w:tcBorders>
              <w:left w:val="nil"/>
            </w:tcBorders>
          </w:tcPr>
          <w:p w14:paraId="0753C2F3" w14:textId="77777777" w:rsidR="00862245" w:rsidRPr="00E448C4" w:rsidRDefault="00862245" w:rsidP="00862245">
            <w:pPr>
              <w:rPr>
                <w:rFonts w:eastAsia="Calibri" w:cs="Arial"/>
                <w:b/>
                <w:color w:val="808080"/>
              </w:rPr>
            </w:pPr>
            <w:r w:rsidRPr="00E448C4">
              <w:rPr>
                <w:rFonts w:eastAsia="Calibri" w:cs="Arial"/>
                <w:b/>
                <w:color w:val="808080"/>
              </w:rPr>
              <w:t>Organic Waste Treatment Technologies</w:t>
            </w:r>
          </w:p>
          <w:p w14:paraId="31675627" w14:textId="3F5C7F2D" w:rsidR="00882636" w:rsidRPr="00E448C4" w:rsidRDefault="00882636" w:rsidP="00882636">
            <w:pPr>
              <w:rPr>
                <w:rFonts w:eastAsia="Calibri" w:cs="Arial"/>
              </w:rPr>
            </w:pPr>
            <w:r w:rsidRPr="00E448C4">
              <w:rPr>
                <w:rFonts w:eastAsia="Calibri" w:cs="Arial"/>
              </w:rPr>
              <w:t xml:space="preserve">10. </w:t>
            </w:r>
            <w:r w:rsidR="00CE4595" w:rsidRPr="00E448C4">
              <w:rPr>
                <w:rFonts w:eastAsia="Calibri" w:cs="Arial"/>
              </w:rPr>
              <w:t>Compost W.O</w:t>
            </w:r>
            <w:r w:rsidR="00B308AE" w:rsidRPr="00E448C4">
              <w:rPr>
                <w:rFonts w:eastAsia="Calibri" w:cs="Arial"/>
              </w:rPr>
              <w:t>.</w:t>
            </w:r>
            <w:r w:rsidR="00CE4595" w:rsidRPr="00E448C4">
              <w:rPr>
                <w:rFonts w:eastAsia="Calibri" w:cs="Arial"/>
              </w:rPr>
              <w:t xml:space="preserve"> FA</w:t>
            </w:r>
          </w:p>
          <w:p w14:paraId="2556479B" w14:textId="5073DEFC" w:rsidR="00882636" w:rsidRPr="00E448C4" w:rsidRDefault="00882636" w:rsidP="00882636">
            <w:pPr>
              <w:rPr>
                <w:rFonts w:eastAsia="Calibri" w:cs="Arial"/>
              </w:rPr>
            </w:pPr>
            <w:r w:rsidRPr="00E448C4">
              <w:rPr>
                <w:rFonts w:eastAsia="Calibri" w:cs="Arial"/>
              </w:rPr>
              <w:t xml:space="preserve">11. </w:t>
            </w:r>
            <w:r w:rsidR="00CE4595" w:rsidRPr="00E448C4">
              <w:rPr>
                <w:rFonts w:eastAsia="Calibri" w:cs="Arial"/>
              </w:rPr>
              <w:t>Compost With FA</w:t>
            </w:r>
          </w:p>
        </w:tc>
      </w:tr>
      <w:tr w:rsidR="00882636" w:rsidRPr="00E448C4" w14:paraId="21B889A7" w14:textId="77777777" w:rsidTr="00862245">
        <w:tc>
          <w:tcPr>
            <w:tcW w:w="4950" w:type="dxa"/>
          </w:tcPr>
          <w:p w14:paraId="43AC5F0D" w14:textId="77777777" w:rsidR="00882636" w:rsidRPr="00E448C4" w:rsidRDefault="00882636" w:rsidP="00882636">
            <w:pPr>
              <w:rPr>
                <w:rFonts w:eastAsia="Calibri" w:cs="Arial"/>
                <w:b/>
                <w:color w:val="92D050"/>
              </w:rPr>
            </w:pPr>
            <w:r w:rsidRPr="00E448C4">
              <w:rPr>
                <w:rFonts w:eastAsia="Calibri" w:cs="Arial"/>
                <w:b/>
                <w:color w:val="92D050"/>
              </w:rPr>
              <w:t>Additional Information</w:t>
            </w:r>
          </w:p>
          <w:p w14:paraId="584B6AE9" w14:textId="10A67697" w:rsidR="00882636" w:rsidRPr="00E448C4" w:rsidRDefault="00882636" w:rsidP="00882636">
            <w:pPr>
              <w:rPr>
                <w:rFonts w:eastAsia="Calibri" w:cs="Arial"/>
              </w:rPr>
            </w:pPr>
            <w:r w:rsidRPr="00E448C4">
              <w:rPr>
                <w:rFonts w:eastAsia="Calibri" w:cs="Arial"/>
              </w:rPr>
              <w:t>12. Tool Assumptions</w:t>
            </w:r>
          </w:p>
          <w:p w14:paraId="56D537FC" w14:textId="45983699" w:rsidR="00882636" w:rsidRPr="00E448C4" w:rsidRDefault="00882636" w:rsidP="00882636">
            <w:pPr>
              <w:rPr>
                <w:rFonts w:eastAsia="Calibri" w:cs="Arial"/>
              </w:rPr>
            </w:pPr>
            <w:r w:rsidRPr="00E448C4">
              <w:rPr>
                <w:rFonts w:eastAsia="Calibri" w:cs="Arial"/>
              </w:rPr>
              <w:t>13. Sources</w:t>
            </w:r>
          </w:p>
        </w:tc>
        <w:tc>
          <w:tcPr>
            <w:tcW w:w="4400" w:type="dxa"/>
          </w:tcPr>
          <w:p w14:paraId="7565D416" w14:textId="77777777" w:rsidR="00882636" w:rsidRPr="00E448C4" w:rsidRDefault="00882636" w:rsidP="00882636">
            <w:pPr>
              <w:rPr>
                <w:rFonts w:eastAsia="Calibri" w:cs="Arial"/>
                <w:b/>
                <w:color w:val="92D050"/>
              </w:rPr>
            </w:pPr>
            <w:r w:rsidRPr="00E448C4">
              <w:rPr>
                <w:rFonts w:eastAsia="Calibri" w:cs="Arial"/>
                <w:b/>
                <w:color w:val="92D050"/>
              </w:rPr>
              <w:t>Additional Information</w:t>
            </w:r>
          </w:p>
          <w:p w14:paraId="2C9B7B4F" w14:textId="77777777" w:rsidR="00882636" w:rsidRPr="00E448C4" w:rsidRDefault="00882636" w:rsidP="00882636">
            <w:pPr>
              <w:rPr>
                <w:rFonts w:eastAsia="Calibri" w:cs="Arial"/>
              </w:rPr>
            </w:pPr>
            <w:r w:rsidRPr="00E448C4">
              <w:rPr>
                <w:rFonts w:eastAsia="Calibri" w:cs="Arial"/>
              </w:rPr>
              <w:t>12. Tool Assumptions</w:t>
            </w:r>
          </w:p>
          <w:p w14:paraId="4943E08B" w14:textId="311ACDAF" w:rsidR="00882636" w:rsidRPr="00E448C4" w:rsidRDefault="00882636" w:rsidP="00882636">
            <w:pPr>
              <w:rPr>
                <w:rFonts w:eastAsia="Calibri" w:cs="Arial"/>
              </w:rPr>
            </w:pPr>
            <w:r w:rsidRPr="00E448C4">
              <w:rPr>
                <w:rFonts w:eastAsia="Calibri" w:cs="Arial"/>
              </w:rPr>
              <w:t>13. Sources</w:t>
            </w:r>
          </w:p>
        </w:tc>
      </w:tr>
    </w:tbl>
    <w:p w14:paraId="4DB1CAFD" w14:textId="77777777" w:rsidR="009B1AF1" w:rsidRPr="00274437" w:rsidRDefault="009B1AF1" w:rsidP="00B42C17">
      <w:pPr>
        <w:spacing w:after="0"/>
        <w:rPr>
          <w:rFonts w:ascii="Arial" w:eastAsia="Calibri" w:hAnsi="Arial" w:cs="Arial"/>
        </w:rPr>
      </w:pPr>
    </w:p>
    <w:p w14:paraId="7886A85C" w14:textId="7936171A" w:rsidR="00C06E3D" w:rsidRPr="00274437" w:rsidRDefault="00E2139C" w:rsidP="00E2139C">
      <w:pPr>
        <w:pStyle w:val="GMIHeading2"/>
      </w:pPr>
      <w:bookmarkStart w:id="5" w:name="_Toc82090368"/>
      <w:r>
        <w:t xml:space="preserve">1.3 </w:t>
      </w:r>
      <w:r w:rsidR="00274437" w:rsidRPr="00274437">
        <w:t>Entering Data</w:t>
      </w:r>
      <w:bookmarkEnd w:id="5"/>
    </w:p>
    <w:p w14:paraId="55214D53" w14:textId="4215DBFC" w:rsidR="00C06E3D" w:rsidRPr="00E448C4" w:rsidRDefault="00C06E3D" w:rsidP="00C06E3D">
      <w:pPr>
        <w:rPr>
          <w:rFonts w:cs="Arial"/>
        </w:rPr>
      </w:pPr>
      <w:r w:rsidRPr="00E448C4">
        <w:rPr>
          <w:rFonts w:cs="Arial"/>
        </w:rPr>
        <w:t>When you open the tool, you will be prompted to enable the tool’s macros. You must enable macros for the tool to function correctly. You will either be prompted with a popup upon opening the tool, or a yellow warning bar will appear at the top of the program asking you to “Enable Content.</w:t>
      </w:r>
      <w:r w:rsidR="00822BF3" w:rsidRPr="00E448C4">
        <w:rPr>
          <w:rFonts w:cs="Arial"/>
        </w:rPr>
        <w:t>”</w:t>
      </w:r>
      <w:r w:rsidRPr="00E448C4">
        <w:rPr>
          <w:rFonts w:cs="Arial"/>
        </w:rPr>
        <w:t xml:space="preserve"> If you did not choose to enable macros, close the tool and reopen it, and you will have the option again to enable macros.</w:t>
      </w:r>
    </w:p>
    <w:p w14:paraId="4A3D8985" w14:textId="4BF753D8" w:rsidR="00C06E3D" w:rsidRPr="00E448C4" w:rsidRDefault="00C06E3D" w:rsidP="009A0A90">
      <w:pPr>
        <w:rPr>
          <w:rFonts w:cs="Arial"/>
        </w:rPr>
      </w:pPr>
      <w:r w:rsidRPr="00E448C4">
        <w:rPr>
          <w:rFonts w:cs="Arial"/>
        </w:rPr>
        <w:t xml:space="preserve">Enter data for your </w:t>
      </w:r>
      <w:r w:rsidR="001908FE" w:rsidRPr="00E448C4">
        <w:rPr>
          <w:rFonts w:cs="Arial"/>
        </w:rPr>
        <w:t>hypothetical project</w:t>
      </w:r>
      <w:r w:rsidRPr="00E448C4">
        <w:rPr>
          <w:rFonts w:cs="Arial"/>
        </w:rPr>
        <w:t xml:space="preserve"> into </w:t>
      </w:r>
      <w:r w:rsidRPr="00E448C4">
        <w:rPr>
          <w:rFonts w:cs="Arial"/>
          <w:u w:val="single"/>
        </w:rPr>
        <w:t>all</w:t>
      </w:r>
      <w:r w:rsidRPr="00E448C4">
        <w:rPr>
          <w:rFonts w:cs="Arial"/>
        </w:rPr>
        <w:t xml:space="preserve"> </w:t>
      </w:r>
      <w:r w:rsidRPr="00E448C4">
        <w:rPr>
          <w:rFonts w:cs="Arial"/>
          <w:b/>
          <w:color w:val="000000" w:themeColor="text1"/>
        </w:rPr>
        <w:t>blue</w:t>
      </w:r>
      <w:r w:rsidRPr="00E448C4">
        <w:rPr>
          <w:rFonts w:cs="Arial"/>
          <w:b/>
          <w:color w:val="00B0F0"/>
        </w:rPr>
        <w:t xml:space="preserve"> </w:t>
      </w:r>
      <w:r w:rsidRPr="00E448C4">
        <w:rPr>
          <w:rFonts w:cs="Arial"/>
          <w:color w:val="000000" w:themeColor="text1"/>
        </w:rPr>
        <w:t>(</w:t>
      </w:r>
      <w:r w:rsidRPr="00E448C4">
        <w:rPr>
          <w:rFonts w:ascii="Arial" w:hAnsi="Arial" w:cs="Arial"/>
          <w:color w:val="00B0F0"/>
          <w:shd w:val="clear" w:color="auto" w:fill="00B0F0"/>
        </w:rPr>
        <w:t>█</w:t>
      </w:r>
      <w:r w:rsidRPr="00E448C4">
        <w:rPr>
          <w:rFonts w:cs="Arial"/>
          <w:color w:val="000000" w:themeColor="text1"/>
        </w:rPr>
        <w:t>)</w:t>
      </w:r>
      <w:r w:rsidR="001908FE" w:rsidRPr="00E448C4">
        <w:rPr>
          <w:rFonts w:cs="Arial"/>
          <w:color w:val="000000" w:themeColor="text1"/>
        </w:rPr>
        <w:t xml:space="preserve"> </w:t>
      </w:r>
      <w:r w:rsidR="001908FE" w:rsidRPr="00E448C4">
        <w:rPr>
          <w:rFonts w:cs="Arial"/>
        </w:rPr>
        <w:t>input</w:t>
      </w:r>
      <w:r w:rsidR="001908FE" w:rsidRPr="00E448C4">
        <w:rPr>
          <w:rFonts w:cs="Arial"/>
          <w:color w:val="00B0F0"/>
        </w:rPr>
        <w:t xml:space="preserve"> </w:t>
      </w:r>
      <w:r w:rsidRPr="00E448C4">
        <w:rPr>
          <w:rFonts w:cs="Arial"/>
        </w:rPr>
        <w:t xml:space="preserve">cells. </w:t>
      </w:r>
      <w:r w:rsidR="001908FE" w:rsidRPr="00E448C4">
        <w:rPr>
          <w:rFonts w:cs="Arial"/>
        </w:rPr>
        <w:t>Cell color will change to a lighter shade of blue once you enter data.</w:t>
      </w:r>
    </w:p>
    <w:p w14:paraId="35D190C1" w14:textId="6A587363" w:rsidR="00C06E3D" w:rsidRPr="00E448C4" w:rsidRDefault="00C06E3D" w:rsidP="00C06E3D">
      <w:pPr>
        <w:rPr>
          <w:rFonts w:cs="Arial"/>
        </w:rPr>
      </w:pPr>
      <w:r w:rsidRPr="00E448C4">
        <w:rPr>
          <w:rFonts w:cs="Arial"/>
          <w:b/>
          <w:color w:val="000000" w:themeColor="text1"/>
        </w:rPr>
        <w:t>Yellow</w:t>
      </w:r>
      <w:r w:rsidRPr="00E448C4">
        <w:rPr>
          <w:rFonts w:cs="Arial"/>
          <w:color w:val="FFC000" w:themeColor="accent4"/>
        </w:rPr>
        <w:t xml:space="preserve"> </w:t>
      </w:r>
      <w:r w:rsidRPr="00E448C4">
        <w:rPr>
          <w:rFonts w:cs="Arial"/>
          <w:color w:val="000000" w:themeColor="text1"/>
        </w:rPr>
        <w:t>(</w:t>
      </w:r>
      <w:r w:rsidRPr="00E448C4">
        <w:rPr>
          <w:rFonts w:ascii="Arial" w:hAnsi="Arial" w:cs="Arial"/>
          <w:color w:val="FFC000"/>
          <w:shd w:val="clear" w:color="auto" w:fill="FFC000"/>
        </w:rPr>
        <w:t>█</w:t>
      </w:r>
      <w:r w:rsidRPr="00E448C4">
        <w:rPr>
          <w:rFonts w:cs="Arial"/>
          <w:color w:val="000000" w:themeColor="text1"/>
        </w:rPr>
        <w:t>)</w:t>
      </w:r>
      <w:r w:rsidRPr="00E448C4">
        <w:rPr>
          <w:rFonts w:cs="Arial"/>
          <w:color w:val="FFC000" w:themeColor="accent4"/>
        </w:rPr>
        <w:t xml:space="preserve"> </w:t>
      </w:r>
      <w:r w:rsidRPr="00E448C4">
        <w:rPr>
          <w:rFonts w:cs="Arial"/>
        </w:rPr>
        <w:t>cells are default values that are automatically provided. You can change these value</w:t>
      </w:r>
      <w:r w:rsidR="001908FE" w:rsidRPr="00E448C4">
        <w:rPr>
          <w:rFonts w:cs="Arial"/>
        </w:rPr>
        <w:t>s</w:t>
      </w:r>
      <w:r w:rsidRPr="00E448C4">
        <w:rPr>
          <w:rFonts w:cs="Arial"/>
        </w:rPr>
        <w:t xml:space="preserve"> if you have local data available. You can reset any user-entered data to original default values by clicking on the “Reset Default Values” buttons provided on each data input page. </w:t>
      </w:r>
    </w:p>
    <w:p w14:paraId="129EC409" w14:textId="6B7A656B" w:rsidR="00C06E3D" w:rsidRPr="00E448C4" w:rsidRDefault="00C06E3D" w:rsidP="00C06E3D">
      <w:pPr>
        <w:rPr>
          <w:rFonts w:cs="Arial"/>
        </w:rPr>
      </w:pPr>
      <w:r w:rsidRPr="00E448C4">
        <w:rPr>
          <w:rFonts w:cs="Arial"/>
        </w:rPr>
        <w:t xml:space="preserve">The light </w:t>
      </w:r>
      <w:r w:rsidR="001908FE" w:rsidRPr="00E448C4">
        <w:rPr>
          <w:rFonts w:cs="Arial"/>
          <w:b/>
          <w:color w:val="000000" w:themeColor="text1"/>
        </w:rPr>
        <w:t>gray</w:t>
      </w:r>
      <w:r w:rsidRPr="00E448C4">
        <w:rPr>
          <w:rFonts w:cs="Arial"/>
          <w:color w:val="808080" w:themeColor="background1" w:themeShade="80"/>
        </w:rPr>
        <w:t xml:space="preserve"> </w:t>
      </w:r>
      <w:r w:rsidRPr="00E448C4">
        <w:rPr>
          <w:rFonts w:cs="Arial"/>
          <w:color w:val="000000" w:themeColor="text1"/>
        </w:rPr>
        <w:t>(</w:t>
      </w:r>
      <w:r w:rsidRPr="00E448C4">
        <w:rPr>
          <w:rFonts w:ascii="Arial" w:hAnsi="Arial" w:cs="Arial"/>
          <w:color w:val="808080"/>
          <w:shd w:val="clear" w:color="auto" w:fill="FFC000"/>
        </w:rPr>
        <w:t>█</w:t>
      </w:r>
      <w:r w:rsidRPr="00E448C4">
        <w:rPr>
          <w:rFonts w:cs="Arial"/>
          <w:color w:val="000000" w:themeColor="text1"/>
        </w:rPr>
        <w:t xml:space="preserve">) </w:t>
      </w:r>
      <w:r w:rsidRPr="00E448C4">
        <w:rPr>
          <w:rFonts w:cs="Arial"/>
        </w:rPr>
        <w:t xml:space="preserve">cells, except for those in columns labeled “source” or “notes,” contain calculated values that cannot be edited. </w:t>
      </w:r>
    </w:p>
    <w:p w14:paraId="5191B281" w14:textId="0C083F65" w:rsidR="00862245" w:rsidRPr="00E448C4" w:rsidRDefault="00862245" w:rsidP="00C06E3D">
      <w:pPr>
        <w:rPr>
          <w:rFonts w:cs="Arial"/>
        </w:rPr>
      </w:pPr>
      <w:r w:rsidRPr="00E448C4">
        <w:rPr>
          <w:rFonts w:cs="Arial"/>
        </w:rPr>
        <w:t xml:space="preserve">Some cells have an automatic validity check. If you enter an incorrect value or make an invalid selection, the cell will turn </w:t>
      </w:r>
      <w:r w:rsidR="00A80C75" w:rsidRPr="00E448C4">
        <w:rPr>
          <w:rFonts w:cs="Arial"/>
          <w:b/>
          <w:bCs/>
        </w:rPr>
        <w:t>red</w:t>
      </w:r>
      <w:r w:rsidRPr="00E448C4">
        <w:rPr>
          <w:rFonts w:cs="Arial"/>
        </w:rPr>
        <w:t>, and an error message will appear. Please correct the error before continuing.</w:t>
      </w:r>
    </w:p>
    <w:p w14:paraId="6FD3471D" w14:textId="3F5EFF34" w:rsidR="00C06E3D" w:rsidRPr="00E448C4" w:rsidRDefault="00C06E3D" w:rsidP="00C06E3D">
      <w:pPr>
        <w:rPr>
          <w:rFonts w:cs="Arial"/>
        </w:rPr>
      </w:pPr>
      <w:r w:rsidRPr="00E448C4">
        <w:rPr>
          <w:rFonts w:cs="Arial"/>
        </w:rPr>
        <w:lastRenderedPageBreak/>
        <w:t>Specific instructions for entering data into each tab can be found in the sections below.</w:t>
      </w:r>
    </w:p>
    <w:p w14:paraId="3B080E6A" w14:textId="28FA6BA5" w:rsidR="00744ECE" w:rsidRPr="00274437" w:rsidRDefault="00E2139C" w:rsidP="00E2139C">
      <w:pPr>
        <w:pStyle w:val="GMIHeading2"/>
      </w:pPr>
      <w:bookmarkStart w:id="6" w:name="_Toc82090369"/>
      <w:r>
        <w:t xml:space="preserve">1.4 </w:t>
      </w:r>
      <w:r w:rsidR="00744ECE">
        <w:t>Definitions</w:t>
      </w:r>
      <w:bookmarkEnd w:id="6"/>
    </w:p>
    <w:p w14:paraId="299BED0A" w14:textId="6BE3B547" w:rsidR="00016A6C" w:rsidRPr="00E448C4" w:rsidRDefault="00016A6C" w:rsidP="00744ECE">
      <w:pPr>
        <w:rPr>
          <w:rFonts w:cs="Arial"/>
        </w:rPr>
      </w:pPr>
      <w:r w:rsidRPr="00E448C4">
        <w:rPr>
          <w:rFonts w:cs="Arial"/>
        </w:rPr>
        <w:t>The following</w:t>
      </w:r>
      <w:r w:rsidR="00822BF3" w:rsidRPr="00E448C4">
        <w:rPr>
          <w:rFonts w:cs="Arial"/>
        </w:rPr>
        <w:t xml:space="preserve"> defined</w:t>
      </w:r>
      <w:r w:rsidRPr="00E448C4">
        <w:rPr>
          <w:rFonts w:cs="Arial"/>
        </w:rPr>
        <w:t xml:space="preserve"> terminology</w:t>
      </w:r>
      <w:r w:rsidR="002D127B" w:rsidRPr="00E448C4">
        <w:rPr>
          <w:rFonts w:cs="Arial"/>
        </w:rPr>
        <w:t xml:space="preserve"> </w:t>
      </w:r>
      <w:r w:rsidR="002F0199" w:rsidRPr="00E448C4">
        <w:rPr>
          <w:rFonts w:cs="Arial"/>
        </w:rPr>
        <w:t>appears</w:t>
      </w:r>
      <w:r w:rsidRPr="00E448C4">
        <w:rPr>
          <w:rFonts w:cs="Arial"/>
        </w:rPr>
        <w:t xml:space="preserve"> in the </w:t>
      </w:r>
      <w:r w:rsidR="00FC19AF" w:rsidRPr="00E448C4">
        <w:rPr>
          <w:rFonts w:cs="Arial"/>
        </w:rPr>
        <w:t xml:space="preserve">OrganEcs </w:t>
      </w:r>
      <w:r w:rsidRPr="00E448C4">
        <w:rPr>
          <w:rFonts w:cs="Arial"/>
        </w:rPr>
        <w:t>tool.</w:t>
      </w:r>
      <w:r w:rsidR="00FC19AF" w:rsidRPr="00E448C4">
        <w:rPr>
          <w:rFonts w:cs="Arial"/>
        </w:rPr>
        <w:t xml:space="preserve"> The first section contains a list of concepts related to organic waste management. The second section includes definitions for financial terms.</w:t>
      </w:r>
    </w:p>
    <w:p w14:paraId="72A4F432" w14:textId="028A6774" w:rsidR="00FC19AF" w:rsidRPr="00E2139C" w:rsidRDefault="00E2139C" w:rsidP="0013671F">
      <w:pPr>
        <w:pStyle w:val="GMIHeading3"/>
      </w:pPr>
      <w:bookmarkStart w:id="7" w:name="_Toc82090370"/>
      <w:r>
        <w:t xml:space="preserve">1.1.1 </w:t>
      </w:r>
      <w:r w:rsidR="002D127B" w:rsidRPr="00E2139C">
        <w:t xml:space="preserve">Organics </w:t>
      </w:r>
      <w:r w:rsidR="00FC19AF" w:rsidRPr="00E2139C">
        <w:t>Waste Management Terms</w:t>
      </w:r>
      <w:bookmarkEnd w:id="7"/>
    </w:p>
    <w:p w14:paraId="54D32871" w14:textId="6958DA6D" w:rsidR="00FC19AF" w:rsidRPr="00E448C4" w:rsidRDefault="00FC19AF" w:rsidP="007D339A">
      <w:pPr>
        <w:rPr>
          <w:rFonts w:cs="Arial"/>
        </w:rPr>
      </w:pPr>
      <w:r w:rsidRPr="00E448C4">
        <w:rPr>
          <w:rFonts w:cs="Arial"/>
          <w:b/>
          <w:bCs/>
        </w:rPr>
        <w:t>Bulking Agent</w:t>
      </w:r>
      <w:r w:rsidRPr="00E448C4">
        <w:rPr>
          <w:rFonts w:cs="Arial"/>
        </w:rPr>
        <w:t xml:space="preserve">: A </w:t>
      </w:r>
      <w:r w:rsidR="002D127B" w:rsidRPr="00E448C4">
        <w:rPr>
          <w:rFonts w:cs="Arial"/>
        </w:rPr>
        <w:t xml:space="preserve">carbon-based </w:t>
      </w:r>
      <w:r w:rsidRPr="00E448C4">
        <w:rPr>
          <w:rFonts w:cs="Arial"/>
        </w:rPr>
        <w:t xml:space="preserve">material </w:t>
      </w:r>
      <w:r w:rsidR="002D127B" w:rsidRPr="00E448C4">
        <w:rPr>
          <w:rFonts w:cs="Arial"/>
        </w:rPr>
        <w:t xml:space="preserve">(e.g., yard trimmings, wood chips, paper goods) </w:t>
      </w:r>
      <w:r w:rsidRPr="00E448C4">
        <w:rPr>
          <w:rFonts w:cs="Arial"/>
        </w:rPr>
        <w:t>added to a compost system to provide structural support and prevent the settlement and compaction of the waste.</w:t>
      </w:r>
    </w:p>
    <w:p w14:paraId="79E05E35" w14:textId="1B80E317" w:rsidR="00FC19AF" w:rsidRPr="00E448C4" w:rsidRDefault="00FC19AF" w:rsidP="007D339A">
      <w:pPr>
        <w:rPr>
          <w:rFonts w:cs="Arial"/>
        </w:rPr>
      </w:pPr>
      <w:r w:rsidRPr="00E448C4">
        <w:rPr>
          <w:rFonts w:cs="Arial"/>
          <w:b/>
          <w:bCs/>
        </w:rPr>
        <w:t>Combined Heat and Power (CHP)</w:t>
      </w:r>
      <w:r w:rsidRPr="00E448C4">
        <w:rPr>
          <w:rFonts w:cs="Arial"/>
        </w:rPr>
        <w:t>: The concurrent production of electricity or mechanical power and useful thermal energy from a single source of energy.</w:t>
      </w:r>
    </w:p>
    <w:p w14:paraId="3A9497F6" w14:textId="0FADE5E9" w:rsidR="003F339C" w:rsidRPr="00E448C4" w:rsidRDefault="003F339C" w:rsidP="007D339A">
      <w:pPr>
        <w:rPr>
          <w:rFonts w:cs="Arial"/>
        </w:rPr>
      </w:pPr>
      <w:r w:rsidRPr="00E448C4">
        <w:rPr>
          <w:rFonts w:cs="Arial"/>
          <w:b/>
          <w:bCs/>
        </w:rPr>
        <w:t>Compost With Forced Aeration</w:t>
      </w:r>
      <w:r w:rsidR="008D3292" w:rsidRPr="00E448C4">
        <w:rPr>
          <w:rFonts w:cs="Arial"/>
          <w:b/>
          <w:bCs/>
        </w:rPr>
        <w:t xml:space="preserve"> (Compost with FA)</w:t>
      </w:r>
      <w:r w:rsidRPr="00E448C4">
        <w:rPr>
          <w:rFonts w:cs="Arial"/>
        </w:rPr>
        <w:t xml:space="preserve">: A method of composting where organic waste is mixed in a large pile and layers of loosely piled bulking agents (e.g., wood chips, shredded newspaper) are added so that air can pass from the bottom to the top of the pile. The piles may also be placed over a network of pipes that force air into or draw air out of the pile. </w:t>
      </w:r>
    </w:p>
    <w:p w14:paraId="5C2E49E2" w14:textId="19AE6778" w:rsidR="003F339C" w:rsidRPr="00E448C4" w:rsidRDefault="003F339C" w:rsidP="007D339A">
      <w:pPr>
        <w:rPr>
          <w:rFonts w:cs="Arial"/>
        </w:rPr>
      </w:pPr>
      <w:r w:rsidRPr="00E448C4">
        <w:rPr>
          <w:rFonts w:cs="Arial"/>
          <w:b/>
          <w:bCs/>
        </w:rPr>
        <w:t>Compost Without Forced Aeration</w:t>
      </w:r>
      <w:r w:rsidR="008D3292" w:rsidRPr="00E448C4">
        <w:rPr>
          <w:rFonts w:cs="Arial"/>
          <w:b/>
          <w:bCs/>
        </w:rPr>
        <w:t xml:space="preserve"> (Compost W.O</w:t>
      </w:r>
      <w:r w:rsidR="00B308AE" w:rsidRPr="00E448C4">
        <w:rPr>
          <w:rFonts w:cs="Arial"/>
          <w:b/>
          <w:bCs/>
        </w:rPr>
        <w:t>.</w:t>
      </w:r>
      <w:r w:rsidR="008D3292" w:rsidRPr="00E448C4">
        <w:rPr>
          <w:rFonts w:cs="Arial"/>
          <w:b/>
          <w:bCs/>
        </w:rPr>
        <w:t xml:space="preserve"> FA)</w:t>
      </w:r>
      <w:r w:rsidRPr="00E448C4">
        <w:rPr>
          <w:rFonts w:cs="Arial"/>
        </w:rPr>
        <w:t>: A method of composting where organic waste is fed into a drum, silo, or trench, and then mechanically turned or mixed to ensure the material is aerated.</w:t>
      </w:r>
    </w:p>
    <w:p w14:paraId="2CEED307" w14:textId="2543F7B9" w:rsidR="00FC19AF" w:rsidRPr="00E448C4" w:rsidRDefault="00FC19AF" w:rsidP="007D339A">
      <w:pPr>
        <w:rPr>
          <w:rFonts w:cs="Arial"/>
        </w:rPr>
      </w:pPr>
      <w:r w:rsidRPr="00E448C4">
        <w:rPr>
          <w:rFonts w:cs="Arial"/>
          <w:b/>
          <w:bCs/>
        </w:rPr>
        <w:t>Dewatering</w:t>
      </w:r>
      <w:r w:rsidRPr="00E448C4">
        <w:rPr>
          <w:rFonts w:cs="Arial"/>
        </w:rPr>
        <w:t xml:space="preserve">: The part of the wastewater treatment process </w:t>
      </w:r>
      <w:r w:rsidR="00E9494F" w:rsidRPr="00E448C4">
        <w:rPr>
          <w:rFonts w:cs="Arial"/>
        </w:rPr>
        <w:t xml:space="preserve">to remove unwanted moisture </w:t>
      </w:r>
      <w:r w:rsidRPr="00E448C4">
        <w:rPr>
          <w:rFonts w:cs="Arial"/>
        </w:rPr>
        <w:t xml:space="preserve">whereby sludges are reduced in volume and converted from a liquid to a solid product. </w:t>
      </w:r>
    </w:p>
    <w:p w14:paraId="573AFD18" w14:textId="657E7D48" w:rsidR="00635ACC" w:rsidRPr="00E448C4" w:rsidRDefault="00635ACC" w:rsidP="007D339A">
      <w:pPr>
        <w:rPr>
          <w:rFonts w:cs="Arial"/>
        </w:rPr>
      </w:pPr>
      <w:r w:rsidRPr="00E448C4">
        <w:rPr>
          <w:rFonts w:cs="Arial"/>
          <w:b/>
          <w:bCs/>
        </w:rPr>
        <w:t>Dry Anaerobic Digestion</w:t>
      </w:r>
      <w:r w:rsidR="00964E6E" w:rsidRPr="00E448C4">
        <w:rPr>
          <w:rFonts w:cs="Arial"/>
          <w:b/>
          <w:bCs/>
        </w:rPr>
        <w:t xml:space="preserve"> (Dry AD)</w:t>
      </w:r>
      <w:r w:rsidRPr="00E448C4">
        <w:rPr>
          <w:rFonts w:cs="Arial"/>
        </w:rPr>
        <w:t>: Dry</w:t>
      </w:r>
      <w:r w:rsidR="002E584C" w:rsidRPr="00E448C4">
        <w:rPr>
          <w:rFonts w:cs="Arial"/>
        </w:rPr>
        <w:t xml:space="preserve"> anaerobic</w:t>
      </w:r>
      <w:r w:rsidRPr="00E448C4">
        <w:rPr>
          <w:rFonts w:cs="Arial"/>
        </w:rPr>
        <w:t xml:space="preserve"> digester systems are designed to process feedstock with greater than 15 percent </w:t>
      </w:r>
      <w:r w:rsidR="00CB43A6" w:rsidRPr="00E448C4">
        <w:rPr>
          <w:rFonts w:cs="Arial"/>
        </w:rPr>
        <w:t xml:space="preserve">total </w:t>
      </w:r>
      <w:r w:rsidRPr="00E448C4">
        <w:rPr>
          <w:rFonts w:cs="Arial"/>
        </w:rPr>
        <w:t>solid content. Feedstocks for a dry digester are often described as stackable.</w:t>
      </w:r>
    </w:p>
    <w:p w14:paraId="369F39F6" w14:textId="24BAC1E1" w:rsidR="00635ACC" w:rsidRPr="00E448C4" w:rsidRDefault="00635ACC" w:rsidP="007D339A">
      <w:pPr>
        <w:rPr>
          <w:rFonts w:cs="Arial"/>
        </w:rPr>
      </w:pPr>
      <w:r w:rsidRPr="00E448C4">
        <w:rPr>
          <w:rFonts w:cs="Arial"/>
          <w:b/>
          <w:bCs/>
        </w:rPr>
        <w:t>Wet Anaerobic Digestion</w:t>
      </w:r>
      <w:r w:rsidR="00964E6E" w:rsidRPr="00E448C4">
        <w:rPr>
          <w:rFonts w:cs="Arial"/>
          <w:b/>
          <w:bCs/>
        </w:rPr>
        <w:t xml:space="preserve"> (Wet AD)</w:t>
      </w:r>
      <w:r w:rsidRPr="00E448C4">
        <w:rPr>
          <w:rFonts w:cs="Arial"/>
        </w:rPr>
        <w:t xml:space="preserve">: Wet </w:t>
      </w:r>
      <w:r w:rsidR="002E584C" w:rsidRPr="00E448C4">
        <w:rPr>
          <w:rFonts w:cs="Arial"/>
        </w:rPr>
        <w:t>anaerobic digester</w:t>
      </w:r>
      <w:r w:rsidRPr="00E448C4">
        <w:rPr>
          <w:rFonts w:cs="Arial"/>
        </w:rPr>
        <w:t xml:space="preserve"> systems are designed to process feedstock with less than 15 percent </w:t>
      </w:r>
      <w:r w:rsidR="00CB43A6" w:rsidRPr="00E448C4">
        <w:rPr>
          <w:rFonts w:cs="Arial"/>
        </w:rPr>
        <w:t xml:space="preserve">total </w:t>
      </w:r>
      <w:r w:rsidRPr="00E448C4">
        <w:rPr>
          <w:rFonts w:cs="Arial"/>
        </w:rPr>
        <w:t>solid content. Feedstocks for a wet digester are typically in slurry form.</w:t>
      </w:r>
    </w:p>
    <w:p w14:paraId="57FFE9E6" w14:textId="76CE2CF8" w:rsidR="00FC19AF" w:rsidRPr="00E448C4" w:rsidRDefault="00E2139C" w:rsidP="0013671F">
      <w:pPr>
        <w:pStyle w:val="GMIHeading3"/>
      </w:pPr>
      <w:bookmarkStart w:id="8" w:name="_Toc82090371"/>
      <w:r>
        <w:t xml:space="preserve">1.1.2 </w:t>
      </w:r>
      <w:r w:rsidR="00FC19AF" w:rsidRPr="00E448C4">
        <w:t>Financial Terms</w:t>
      </w:r>
      <w:bookmarkEnd w:id="8"/>
    </w:p>
    <w:p w14:paraId="3A71391F" w14:textId="72E48788" w:rsidR="00744ECE" w:rsidRPr="00E448C4" w:rsidRDefault="00016A6C" w:rsidP="00744ECE">
      <w:pPr>
        <w:rPr>
          <w:rFonts w:cs="Arial"/>
        </w:rPr>
      </w:pPr>
      <w:r w:rsidRPr="00E448C4">
        <w:rPr>
          <w:rFonts w:cs="Arial"/>
          <w:b/>
          <w:bCs/>
        </w:rPr>
        <w:t>Ancillary Costs</w:t>
      </w:r>
      <w:r w:rsidR="002F0199" w:rsidRPr="00E448C4">
        <w:rPr>
          <w:rFonts w:cs="Arial"/>
        </w:rPr>
        <w:t xml:space="preserve">: </w:t>
      </w:r>
      <w:r w:rsidR="00A30ABB" w:rsidRPr="00E448C4">
        <w:rPr>
          <w:rFonts w:cs="Arial"/>
        </w:rPr>
        <w:t>Any cost or expense involved in a transaction but not directly related to it.</w:t>
      </w:r>
    </w:p>
    <w:p w14:paraId="1C6C0315" w14:textId="3AC44209" w:rsidR="00016A6C" w:rsidRPr="00E448C4" w:rsidRDefault="00016A6C" w:rsidP="00744ECE">
      <w:pPr>
        <w:rPr>
          <w:rFonts w:cs="Arial"/>
        </w:rPr>
      </w:pPr>
      <w:r w:rsidRPr="00E448C4">
        <w:rPr>
          <w:rFonts w:cs="Arial"/>
          <w:b/>
          <w:bCs/>
        </w:rPr>
        <w:t>Capital Cost Contingency</w:t>
      </w:r>
      <w:r w:rsidR="00E72134" w:rsidRPr="00E448C4">
        <w:rPr>
          <w:rFonts w:cs="Arial"/>
        </w:rPr>
        <w:t xml:space="preserve">: </w:t>
      </w:r>
      <w:r w:rsidR="008E2013" w:rsidRPr="00E448C4">
        <w:rPr>
          <w:rFonts w:cs="Arial"/>
        </w:rPr>
        <w:t xml:space="preserve">The amount that is included in a project budget to represent uncertainty. </w:t>
      </w:r>
    </w:p>
    <w:p w14:paraId="5F78F8DB" w14:textId="1882D889" w:rsidR="00016A6C" w:rsidRPr="00E448C4" w:rsidRDefault="001C1380" w:rsidP="00744ECE">
      <w:pPr>
        <w:rPr>
          <w:rFonts w:cs="Arial"/>
        </w:rPr>
      </w:pPr>
      <w:r w:rsidRPr="00E448C4">
        <w:rPr>
          <w:rFonts w:cs="Arial"/>
          <w:b/>
          <w:bCs/>
        </w:rPr>
        <w:t>Capital Expenditure (Capex)</w:t>
      </w:r>
      <w:r w:rsidRPr="00E448C4">
        <w:rPr>
          <w:rFonts w:cs="Arial"/>
        </w:rPr>
        <w:t xml:space="preserve">: The funds used by a company to acquire, upgrade, and maintain physical assets such as property, plants, buildings, technology, or equipment. </w:t>
      </w:r>
    </w:p>
    <w:p w14:paraId="6FF3B989" w14:textId="591E44AF" w:rsidR="001E5CFE" w:rsidRPr="00E448C4" w:rsidRDefault="001E5CFE" w:rsidP="00744ECE">
      <w:pPr>
        <w:rPr>
          <w:rFonts w:cs="Arial"/>
        </w:rPr>
      </w:pPr>
      <w:r w:rsidRPr="00E448C4">
        <w:rPr>
          <w:rFonts w:cs="Arial"/>
          <w:b/>
          <w:bCs/>
        </w:rPr>
        <w:t>Depreciation</w:t>
      </w:r>
      <w:r w:rsidR="00E72134" w:rsidRPr="00E448C4">
        <w:rPr>
          <w:rFonts w:cs="Arial"/>
        </w:rPr>
        <w:t xml:space="preserve">: </w:t>
      </w:r>
      <w:r w:rsidR="00C05A28" w:rsidRPr="00E448C4">
        <w:rPr>
          <w:rFonts w:cs="Arial"/>
        </w:rPr>
        <w:t xml:space="preserve">An accounting method of allocating the cost of a tangible or physical asset over its useful life or life expectancy. Depreciation represents how much of an asset’s value has been used up. </w:t>
      </w:r>
    </w:p>
    <w:p w14:paraId="25BAD491" w14:textId="4BC8D4D4" w:rsidR="001E5CFE" w:rsidRPr="00E448C4" w:rsidRDefault="00AD5A1D" w:rsidP="001E5CFE">
      <w:pPr>
        <w:rPr>
          <w:rFonts w:cs="Arial"/>
        </w:rPr>
      </w:pPr>
      <w:r w:rsidRPr="00E448C4">
        <w:rPr>
          <w:rFonts w:cs="Arial"/>
          <w:b/>
          <w:bCs/>
        </w:rPr>
        <w:lastRenderedPageBreak/>
        <w:t>Earnings Before Interest and Taxes (</w:t>
      </w:r>
      <w:r w:rsidR="001E5CFE" w:rsidRPr="00E448C4">
        <w:rPr>
          <w:rFonts w:cs="Arial"/>
          <w:b/>
          <w:bCs/>
        </w:rPr>
        <w:t>EBIT</w:t>
      </w:r>
      <w:r w:rsidRPr="00E448C4">
        <w:rPr>
          <w:rFonts w:cs="Arial"/>
          <w:b/>
          <w:bCs/>
        </w:rPr>
        <w:t>)</w:t>
      </w:r>
      <w:r w:rsidR="00E72134" w:rsidRPr="00E448C4">
        <w:rPr>
          <w:rFonts w:cs="Arial"/>
        </w:rPr>
        <w:t xml:space="preserve">: </w:t>
      </w:r>
      <w:r w:rsidR="00350E24" w:rsidRPr="00E448C4">
        <w:rPr>
          <w:rFonts w:cs="Arial"/>
        </w:rPr>
        <w:t>A company’s net income before income tax expense and interest expenses are deducted. Also referred to as</w:t>
      </w:r>
      <w:r w:rsidRPr="00E448C4">
        <w:rPr>
          <w:rFonts w:cs="Arial"/>
        </w:rPr>
        <w:t xml:space="preserve"> operating </w:t>
      </w:r>
      <w:r w:rsidR="00350E24" w:rsidRPr="00E448C4">
        <w:rPr>
          <w:rFonts w:cs="Arial"/>
        </w:rPr>
        <w:t>income</w:t>
      </w:r>
      <w:r w:rsidR="005E398F" w:rsidRPr="00E448C4">
        <w:rPr>
          <w:rFonts w:cs="Arial"/>
        </w:rPr>
        <w:t xml:space="preserve"> or operating profit</w:t>
      </w:r>
      <w:r w:rsidR="00350E24" w:rsidRPr="00E448C4">
        <w:rPr>
          <w:rFonts w:cs="Arial"/>
        </w:rPr>
        <w:t xml:space="preserve">, EBIT </w:t>
      </w:r>
      <w:r w:rsidR="00D4200F" w:rsidRPr="00E448C4">
        <w:rPr>
          <w:rFonts w:cs="Arial"/>
        </w:rPr>
        <w:t xml:space="preserve">is used to analyze the performance of a company’s core operations without the costs of the capital structure and tax expenses impacting profit. </w:t>
      </w:r>
      <w:r w:rsidRPr="00E448C4">
        <w:rPr>
          <w:rFonts w:cs="Arial"/>
        </w:rPr>
        <w:t xml:space="preserve"> </w:t>
      </w:r>
    </w:p>
    <w:p w14:paraId="0E27D78C" w14:textId="1B04763D" w:rsidR="00631560" w:rsidRPr="00E448C4" w:rsidRDefault="00631560" w:rsidP="001E5CFE">
      <w:pPr>
        <w:rPr>
          <w:rFonts w:cs="Arial"/>
        </w:rPr>
      </w:pPr>
      <w:r w:rsidRPr="00E448C4">
        <w:rPr>
          <w:rFonts w:cs="Arial"/>
        </w:rPr>
        <w:tab/>
        <w:t>EBIT = Revenue – Cost of Goods Sold – Operating Expenses</w:t>
      </w:r>
    </w:p>
    <w:p w14:paraId="14C9EBAC" w14:textId="440094C1" w:rsidR="001E5CFE" w:rsidRPr="00E448C4" w:rsidRDefault="00AD5A1D" w:rsidP="001E5CFE">
      <w:pPr>
        <w:rPr>
          <w:rFonts w:cs="Arial"/>
        </w:rPr>
      </w:pPr>
      <w:r w:rsidRPr="00E448C4">
        <w:rPr>
          <w:rFonts w:cs="Arial"/>
          <w:b/>
          <w:bCs/>
        </w:rPr>
        <w:t>Earnings Before Interest, Taxes, and Depreciation, and Amortization (</w:t>
      </w:r>
      <w:r w:rsidR="001E5CFE" w:rsidRPr="00E448C4">
        <w:rPr>
          <w:rFonts w:cs="Arial"/>
          <w:b/>
          <w:bCs/>
        </w:rPr>
        <w:t>EBITDA</w:t>
      </w:r>
      <w:r w:rsidRPr="00E448C4">
        <w:rPr>
          <w:rFonts w:cs="Arial"/>
          <w:b/>
          <w:bCs/>
        </w:rPr>
        <w:t>)</w:t>
      </w:r>
      <w:r w:rsidR="00E72134" w:rsidRPr="00E448C4">
        <w:rPr>
          <w:rFonts w:cs="Arial"/>
        </w:rPr>
        <w:t xml:space="preserve">: </w:t>
      </w:r>
      <w:r w:rsidR="00D4200F" w:rsidRPr="00E448C4">
        <w:rPr>
          <w:rFonts w:cs="Arial"/>
        </w:rPr>
        <w:t>A metric of corporate</w:t>
      </w:r>
      <w:r w:rsidR="007D1EF0" w:rsidRPr="00E448C4">
        <w:rPr>
          <w:rFonts w:cs="Arial"/>
        </w:rPr>
        <w:t xml:space="preserve"> </w:t>
      </w:r>
      <w:r w:rsidR="00D4200F" w:rsidRPr="00E448C4">
        <w:rPr>
          <w:rFonts w:cs="Arial"/>
        </w:rPr>
        <w:t>profitability which</w:t>
      </w:r>
      <w:r w:rsidR="007D1EF0" w:rsidRPr="00E448C4">
        <w:rPr>
          <w:rFonts w:cs="Arial"/>
        </w:rPr>
        <w:t xml:space="preserve"> excludes</w:t>
      </w:r>
      <w:r w:rsidR="00D4200F" w:rsidRPr="00E448C4">
        <w:rPr>
          <w:rFonts w:cs="Arial"/>
        </w:rPr>
        <w:t xml:space="preserve"> the</w:t>
      </w:r>
      <w:r w:rsidR="007D1EF0" w:rsidRPr="00E448C4">
        <w:rPr>
          <w:rFonts w:cs="Arial"/>
        </w:rPr>
        <w:t xml:space="preserve"> expenses associated with debt by adding back interest expense and taxes to earnings. </w:t>
      </w:r>
      <w:r w:rsidR="00D4200F" w:rsidRPr="00E448C4">
        <w:rPr>
          <w:rFonts w:cs="Arial"/>
        </w:rPr>
        <w:t xml:space="preserve">EBITDA shows earnings before the influence of accounting and financial deductions. </w:t>
      </w:r>
    </w:p>
    <w:p w14:paraId="69C77975" w14:textId="11666B75" w:rsidR="00631560" w:rsidRPr="00E448C4" w:rsidRDefault="00631560" w:rsidP="001E5CFE">
      <w:pPr>
        <w:rPr>
          <w:rFonts w:cs="Arial"/>
        </w:rPr>
      </w:pPr>
      <w:r w:rsidRPr="00E448C4">
        <w:rPr>
          <w:rFonts w:cs="Arial"/>
        </w:rPr>
        <w:tab/>
        <w:t>EBITDA = Operating Profit + Depreciation Expense + Amortization Expense</w:t>
      </w:r>
    </w:p>
    <w:p w14:paraId="5EAF1471" w14:textId="0A251E48" w:rsidR="00631560" w:rsidRPr="00E448C4" w:rsidRDefault="00AD5A1D" w:rsidP="00631560">
      <w:pPr>
        <w:rPr>
          <w:rFonts w:cs="Arial"/>
        </w:rPr>
      </w:pPr>
      <w:r w:rsidRPr="00E448C4">
        <w:rPr>
          <w:rFonts w:cs="Arial"/>
          <w:b/>
          <w:bCs/>
        </w:rPr>
        <w:t>Earnings Before Interest After Taxes (</w:t>
      </w:r>
      <w:r w:rsidR="001E5CFE" w:rsidRPr="00E448C4">
        <w:rPr>
          <w:rFonts w:cs="Arial"/>
          <w:b/>
          <w:bCs/>
        </w:rPr>
        <w:t>EBIAT</w:t>
      </w:r>
      <w:r w:rsidRPr="00E448C4">
        <w:rPr>
          <w:rFonts w:cs="Arial"/>
          <w:b/>
          <w:bCs/>
        </w:rPr>
        <w:t>)</w:t>
      </w:r>
      <w:r w:rsidR="00E72134" w:rsidRPr="00E448C4">
        <w:rPr>
          <w:rFonts w:cs="Arial"/>
        </w:rPr>
        <w:t xml:space="preserve">: </w:t>
      </w:r>
      <w:r w:rsidR="00350E24" w:rsidRPr="00E448C4">
        <w:rPr>
          <w:rFonts w:cs="Arial"/>
        </w:rPr>
        <w:t>A way to measure a</w:t>
      </w:r>
      <w:r w:rsidR="003D0DC6" w:rsidRPr="00E448C4">
        <w:rPr>
          <w:rFonts w:cs="Arial"/>
        </w:rPr>
        <w:t xml:space="preserve"> company’s ability to generate income from its operations for the period being examined while considering taxes. </w:t>
      </w:r>
      <w:r w:rsidR="00631560" w:rsidRPr="00E448C4">
        <w:rPr>
          <w:rFonts w:cs="Arial"/>
        </w:rPr>
        <w:t>By eliminating elements that can potentially boost or reduce financial strength (i.e., tax benefits), EBIAT provides an accurate picture of a company’s finances.</w:t>
      </w:r>
      <w:r w:rsidR="00804BEA" w:rsidRPr="00E448C4">
        <w:rPr>
          <w:rFonts w:cs="Arial"/>
        </w:rPr>
        <w:t xml:space="preserve"> EBIAT reveals how much cash a company has available to pay its debt obligations.</w:t>
      </w:r>
    </w:p>
    <w:p w14:paraId="15A6272B" w14:textId="21195558" w:rsidR="00631560" w:rsidRPr="00E448C4" w:rsidRDefault="00631560" w:rsidP="00631560">
      <w:pPr>
        <w:ind w:firstLine="720"/>
        <w:rPr>
          <w:rFonts w:cs="Arial"/>
        </w:rPr>
      </w:pPr>
      <w:r w:rsidRPr="00E448C4">
        <w:rPr>
          <w:rFonts w:cs="Arial"/>
        </w:rPr>
        <w:t>EBIAT = EBIT x (1 – Tax Rate)</w:t>
      </w:r>
    </w:p>
    <w:p w14:paraId="57786727" w14:textId="49683339" w:rsidR="002F0199" w:rsidRPr="00E448C4" w:rsidRDefault="002F0199" w:rsidP="001E5CFE">
      <w:pPr>
        <w:rPr>
          <w:rFonts w:cs="Arial"/>
        </w:rPr>
      </w:pPr>
      <w:r w:rsidRPr="00E448C4">
        <w:rPr>
          <w:rFonts w:cs="Arial"/>
          <w:b/>
          <w:bCs/>
        </w:rPr>
        <w:t>Equity Payback</w:t>
      </w:r>
      <w:r w:rsidR="00E72134" w:rsidRPr="00E448C4">
        <w:rPr>
          <w:rFonts w:cs="Arial"/>
        </w:rPr>
        <w:t xml:space="preserve">: </w:t>
      </w:r>
      <w:r w:rsidR="004349C2" w:rsidRPr="00E448C4">
        <w:rPr>
          <w:rFonts w:cs="Arial"/>
        </w:rPr>
        <w:t xml:space="preserve">The amount of time it takes to recover the cost of an equity investment. </w:t>
      </w:r>
    </w:p>
    <w:p w14:paraId="102FE8BB" w14:textId="34DACFF1" w:rsidR="00016A6C" w:rsidRPr="00E448C4" w:rsidRDefault="007D339A" w:rsidP="00744ECE">
      <w:pPr>
        <w:rPr>
          <w:rFonts w:cs="Arial"/>
        </w:rPr>
      </w:pPr>
      <w:r w:rsidRPr="00E448C4">
        <w:rPr>
          <w:rFonts w:cs="Arial"/>
          <w:noProof/>
        </w:rPr>
        <w:drawing>
          <wp:anchor distT="0" distB="0" distL="114300" distR="114300" simplePos="0" relativeHeight="251658240" behindDoc="1" locked="0" layoutInCell="1" allowOverlap="1" wp14:anchorId="0C1CDE66" wp14:editId="3B320746">
            <wp:simplePos x="0" y="0"/>
            <wp:positionH relativeFrom="margin">
              <wp:align>right</wp:align>
            </wp:positionH>
            <wp:positionV relativeFrom="paragraph">
              <wp:posOffset>7221</wp:posOffset>
            </wp:positionV>
            <wp:extent cx="2407534" cy="1509823"/>
            <wp:effectExtent l="0" t="0" r="0" b="0"/>
            <wp:wrapTight wrapText="bothSides">
              <wp:wrapPolygon edited="0">
                <wp:start x="0" y="0"/>
                <wp:lineTo x="0" y="21264"/>
                <wp:lineTo x="21366" y="21264"/>
                <wp:lineTo x="213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7534" cy="1509823"/>
                    </a:xfrm>
                    <a:prstGeom prst="rect">
                      <a:avLst/>
                    </a:prstGeom>
                    <a:noFill/>
                    <a:ln>
                      <a:noFill/>
                    </a:ln>
                  </pic:spPr>
                </pic:pic>
              </a:graphicData>
            </a:graphic>
            <wp14:sizeRelH relativeFrom="page">
              <wp14:pctWidth>0</wp14:pctWidth>
            </wp14:sizeRelH>
            <wp14:sizeRelV relativeFrom="page">
              <wp14:pctHeight>0</wp14:pctHeight>
            </wp14:sizeRelV>
          </wp:anchor>
        </w:drawing>
      </w:r>
      <w:r w:rsidR="00016A6C" w:rsidRPr="00E448C4">
        <w:rPr>
          <w:rFonts w:cs="Arial"/>
          <w:b/>
          <w:bCs/>
        </w:rPr>
        <w:t>Gate Fee</w:t>
      </w:r>
      <w:r w:rsidR="00E72134" w:rsidRPr="00E448C4">
        <w:rPr>
          <w:rFonts w:cs="Arial"/>
        </w:rPr>
        <w:t xml:space="preserve">: </w:t>
      </w:r>
      <w:r w:rsidR="00804BEA" w:rsidRPr="00E448C4">
        <w:rPr>
          <w:rFonts w:cs="Arial"/>
        </w:rPr>
        <w:t xml:space="preserve">Also known as a tipping fee, a gate fee is the charge levied upon a given quantity of waste received at a waste processing facility. </w:t>
      </w:r>
    </w:p>
    <w:p w14:paraId="3DE5454F" w14:textId="744DD087" w:rsidR="00C14571" w:rsidRPr="00E448C4" w:rsidRDefault="00804BEA" w:rsidP="007D339A">
      <w:pPr>
        <w:rPr>
          <w:rFonts w:cs="Arial"/>
        </w:rPr>
      </w:pPr>
      <w:r w:rsidRPr="00E448C4">
        <w:rPr>
          <w:rFonts w:cs="Arial"/>
          <w:b/>
          <w:bCs/>
        </w:rPr>
        <w:t>Internal Rate of Return (IRR)</w:t>
      </w:r>
      <w:r w:rsidRPr="00E448C4">
        <w:rPr>
          <w:rFonts w:cs="Arial"/>
        </w:rPr>
        <w:t xml:space="preserve">: </w:t>
      </w:r>
      <w:r w:rsidR="001569FA" w:rsidRPr="00E448C4">
        <w:rPr>
          <w:rFonts w:cs="Arial"/>
        </w:rPr>
        <w:t xml:space="preserve">The annual rate of growth that an investment is expected to generate. </w:t>
      </w:r>
      <w:r w:rsidR="00D6209A" w:rsidRPr="00E448C4">
        <w:rPr>
          <w:rFonts w:cs="Arial"/>
        </w:rPr>
        <w:t>IRR is used to</w:t>
      </w:r>
      <w:r w:rsidRPr="00E448C4">
        <w:rPr>
          <w:rFonts w:cs="Arial"/>
        </w:rPr>
        <w:t xml:space="preserve"> estimate the profitability of potential investments.</w:t>
      </w:r>
      <w:r w:rsidR="00C14571" w:rsidRPr="00E448C4">
        <w:rPr>
          <w:rFonts w:cs="Arial"/>
        </w:rPr>
        <w:t xml:space="preserve"> IRR can be calculated </w:t>
      </w:r>
      <w:r w:rsidR="00163CC4" w:rsidRPr="00E448C4">
        <w:rPr>
          <w:rFonts w:cs="Arial"/>
        </w:rPr>
        <w:t>by setting the net present value (NPV) equal to zero</w:t>
      </w:r>
      <w:r w:rsidR="007D339A" w:rsidRPr="00E448C4">
        <w:rPr>
          <w:rFonts w:cs="Arial"/>
        </w:rPr>
        <w:t>.</w:t>
      </w:r>
    </w:p>
    <w:p w14:paraId="06EA7CFF" w14:textId="75A11E53" w:rsidR="001E5CFE" w:rsidRPr="00E448C4" w:rsidRDefault="001E5CFE" w:rsidP="00D91DB6">
      <w:pPr>
        <w:rPr>
          <w:rFonts w:cs="Arial"/>
        </w:rPr>
      </w:pPr>
      <w:r w:rsidRPr="00E448C4">
        <w:rPr>
          <w:rFonts w:cs="Arial"/>
          <w:b/>
          <w:bCs/>
        </w:rPr>
        <w:t xml:space="preserve">Equity </w:t>
      </w:r>
      <w:r w:rsidR="00016A6C" w:rsidRPr="00E448C4">
        <w:rPr>
          <w:rFonts w:cs="Arial"/>
          <w:b/>
          <w:bCs/>
        </w:rPr>
        <w:t>Internal Rate of Return (</w:t>
      </w:r>
      <w:r w:rsidR="007349B3" w:rsidRPr="00E448C4">
        <w:rPr>
          <w:rFonts w:cs="Arial"/>
          <w:b/>
          <w:bCs/>
        </w:rPr>
        <w:t xml:space="preserve">Equity </w:t>
      </w:r>
      <w:r w:rsidR="00016A6C" w:rsidRPr="00E448C4">
        <w:rPr>
          <w:rFonts w:cs="Arial"/>
          <w:b/>
          <w:bCs/>
        </w:rPr>
        <w:t>IRR)</w:t>
      </w:r>
      <w:r w:rsidR="00E72134" w:rsidRPr="00E448C4">
        <w:rPr>
          <w:rFonts w:cs="Arial"/>
        </w:rPr>
        <w:t xml:space="preserve">: </w:t>
      </w:r>
      <w:r w:rsidR="00D91DB6" w:rsidRPr="00E448C4">
        <w:rPr>
          <w:rFonts w:cs="Arial"/>
        </w:rPr>
        <w:t xml:space="preserve">Also known as levered IRR, </w:t>
      </w:r>
      <w:r w:rsidR="00E9494F" w:rsidRPr="00E448C4">
        <w:rPr>
          <w:rFonts w:cs="Arial"/>
        </w:rPr>
        <w:t>e</w:t>
      </w:r>
      <w:r w:rsidR="00D91DB6" w:rsidRPr="00E448C4">
        <w:rPr>
          <w:rFonts w:cs="Arial"/>
        </w:rPr>
        <w:t xml:space="preserve">quity IRR accounts for debt financing when calculating the </w:t>
      </w:r>
      <w:r w:rsidR="007349B3" w:rsidRPr="00E448C4">
        <w:rPr>
          <w:rFonts w:cs="Arial"/>
        </w:rPr>
        <w:t>return on investments</w:t>
      </w:r>
      <w:r w:rsidR="00D91DB6" w:rsidRPr="00E448C4">
        <w:rPr>
          <w:rFonts w:cs="Arial"/>
        </w:rPr>
        <w:t xml:space="preserve">. </w:t>
      </w:r>
      <w:r w:rsidR="00163CC4" w:rsidRPr="00E448C4">
        <w:rPr>
          <w:rFonts w:cs="Arial"/>
        </w:rPr>
        <w:t xml:space="preserve">If the financing structure or interest rate changes, </w:t>
      </w:r>
      <w:r w:rsidR="00E9494F" w:rsidRPr="00E448C4">
        <w:rPr>
          <w:rFonts w:cs="Arial"/>
        </w:rPr>
        <w:t>e</w:t>
      </w:r>
      <w:r w:rsidR="00D91DB6" w:rsidRPr="00E448C4">
        <w:rPr>
          <w:rFonts w:cs="Arial"/>
        </w:rPr>
        <w:t>quity</w:t>
      </w:r>
      <w:r w:rsidR="00163CC4" w:rsidRPr="00E448C4">
        <w:rPr>
          <w:rFonts w:cs="Arial"/>
        </w:rPr>
        <w:t xml:space="preserve"> IRR will change as well. </w:t>
      </w:r>
    </w:p>
    <w:p w14:paraId="1D00A6D8" w14:textId="72D48F35" w:rsidR="007349B3" w:rsidRPr="00E448C4" w:rsidRDefault="007349B3" w:rsidP="00D91DB6">
      <w:pPr>
        <w:rPr>
          <w:rFonts w:cs="Arial"/>
        </w:rPr>
      </w:pPr>
      <w:r w:rsidRPr="00E448C4">
        <w:rPr>
          <w:rFonts w:cs="Arial"/>
          <w:b/>
          <w:bCs/>
        </w:rPr>
        <w:t>Project Internal Rate of Return (Project IRR)</w:t>
      </w:r>
      <w:r w:rsidRPr="00E448C4">
        <w:rPr>
          <w:rFonts w:cs="Arial"/>
        </w:rPr>
        <w:t>:</w:t>
      </w:r>
      <w:r w:rsidR="0058558F" w:rsidRPr="00E448C4">
        <w:rPr>
          <w:rFonts w:cs="Arial"/>
        </w:rPr>
        <w:t xml:space="preserve"> </w:t>
      </w:r>
      <w:r w:rsidRPr="00E448C4">
        <w:rPr>
          <w:rFonts w:cs="Arial"/>
        </w:rPr>
        <w:t xml:space="preserve">Also known as unlevered IRR, </w:t>
      </w:r>
      <w:r w:rsidR="00E9494F" w:rsidRPr="00E448C4">
        <w:rPr>
          <w:rFonts w:cs="Arial"/>
        </w:rPr>
        <w:t>p</w:t>
      </w:r>
      <w:r w:rsidRPr="00E448C4">
        <w:rPr>
          <w:rFonts w:cs="Arial"/>
        </w:rPr>
        <w:t xml:space="preserve">roject IRR does not take account for the financing structure </w:t>
      </w:r>
      <w:r w:rsidR="0058558F" w:rsidRPr="00E448C4">
        <w:rPr>
          <w:rFonts w:cs="Arial"/>
        </w:rPr>
        <w:t>when calculating the return on investments. This calculation does not take debt capital into account and instead assumes</w:t>
      </w:r>
      <w:r w:rsidRPr="00E448C4">
        <w:rPr>
          <w:rFonts w:cs="Arial"/>
        </w:rPr>
        <w:t xml:space="preserve"> 100 percent equity financing</w:t>
      </w:r>
      <w:r w:rsidR="0058558F" w:rsidRPr="00E448C4">
        <w:rPr>
          <w:rFonts w:cs="Arial"/>
        </w:rPr>
        <w:t>.</w:t>
      </w:r>
    </w:p>
    <w:p w14:paraId="5F98813C" w14:textId="5F86EA73" w:rsidR="001E5CFE" w:rsidRPr="00E448C4" w:rsidRDefault="001E5CFE" w:rsidP="00744ECE">
      <w:pPr>
        <w:rPr>
          <w:rFonts w:cs="Arial"/>
        </w:rPr>
      </w:pPr>
      <w:r w:rsidRPr="00E448C4">
        <w:rPr>
          <w:rFonts w:cs="Arial"/>
          <w:b/>
          <w:bCs/>
        </w:rPr>
        <w:t>Principal Payment</w:t>
      </w:r>
      <w:r w:rsidR="001C1380" w:rsidRPr="00E448C4">
        <w:rPr>
          <w:rFonts w:cs="Arial"/>
        </w:rPr>
        <w:t xml:space="preserve">: A payment toward the original amount of a loan </w:t>
      </w:r>
      <w:r w:rsidR="00E9494F" w:rsidRPr="00E448C4">
        <w:rPr>
          <w:rFonts w:cs="Arial"/>
        </w:rPr>
        <w:t>balance</w:t>
      </w:r>
      <w:r w:rsidR="001C1380" w:rsidRPr="00E448C4">
        <w:rPr>
          <w:rFonts w:cs="Arial"/>
        </w:rPr>
        <w:t xml:space="preserve">. </w:t>
      </w:r>
    </w:p>
    <w:p w14:paraId="17BBC528" w14:textId="1AB44DD4" w:rsidR="00016A6C" w:rsidRPr="00E448C4" w:rsidRDefault="001E5CFE" w:rsidP="00744ECE">
      <w:pPr>
        <w:rPr>
          <w:rFonts w:cs="Arial"/>
        </w:rPr>
      </w:pPr>
      <w:r w:rsidRPr="00E448C4">
        <w:rPr>
          <w:rFonts w:cs="Arial"/>
          <w:b/>
          <w:bCs/>
        </w:rPr>
        <w:t xml:space="preserve">Operations and Maintenance </w:t>
      </w:r>
      <w:r w:rsidR="00016A6C" w:rsidRPr="00E448C4">
        <w:rPr>
          <w:rFonts w:cs="Arial"/>
          <w:b/>
          <w:bCs/>
        </w:rPr>
        <w:t>(O&amp;M)</w:t>
      </w:r>
      <w:r w:rsidR="00016A6C" w:rsidRPr="00E448C4">
        <w:rPr>
          <w:rFonts w:cs="Arial"/>
        </w:rPr>
        <w:t xml:space="preserve">: </w:t>
      </w:r>
      <w:r w:rsidR="00C63FFB" w:rsidRPr="00E448C4">
        <w:rPr>
          <w:rFonts w:cs="Arial"/>
        </w:rPr>
        <w:t xml:space="preserve">The functions, duties, and labor associated with the daily operations and normal repairs, replacement of parts and structural components, and other activities needed </w:t>
      </w:r>
      <w:r w:rsidR="00A87FDB" w:rsidRPr="00E448C4">
        <w:rPr>
          <w:rFonts w:cs="Arial"/>
        </w:rPr>
        <w:t xml:space="preserve">for a facility to </w:t>
      </w:r>
      <w:r w:rsidR="00C63FFB" w:rsidRPr="00E448C4">
        <w:rPr>
          <w:rFonts w:cs="Arial"/>
        </w:rPr>
        <w:t>continue providing acceptable services</w:t>
      </w:r>
      <w:r w:rsidR="001C1380" w:rsidRPr="00E448C4">
        <w:rPr>
          <w:rFonts w:cs="Arial"/>
        </w:rPr>
        <w:t>.</w:t>
      </w:r>
    </w:p>
    <w:p w14:paraId="1BEE59BD" w14:textId="370CF6E6" w:rsidR="00016A6C" w:rsidRPr="00E448C4" w:rsidRDefault="00016A6C" w:rsidP="00744ECE">
      <w:pPr>
        <w:rPr>
          <w:rFonts w:cs="Arial"/>
        </w:rPr>
      </w:pPr>
      <w:r w:rsidRPr="00E448C4">
        <w:rPr>
          <w:rFonts w:cs="Arial"/>
          <w:b/>
          <w:bCs/>
        </w:rPr>
        <w:t>Tenor</w:t>
      </w:r>
      <w:r w:rsidRPr="00E448C4">
        <w:rPr>
          <w:rFonts w:cs="Arial"/>
        </w:rPr>
        <w:t xml:space="preserve">: </w:t>
      </w:r>
      <w:r w:rsidR="00A30ABB" w:rsidRPr="00E448C4">
        <w:rPr>
          <w:rFonts w:cs="Arial"/>
        </w:rPr>
        <w:t xml:space="preserve">The </w:t>
      </w:r>
      <w:r w:rsidR="00154D8F" w:rsidRPr="00E448C4">
        <w:rPr>
          <w:rFonts w:cs="Arial"/>
        </w:rPr>
        <w:t>length of</w:t>
      </w:r>
      <w:r w:rsidRPr="00E448C4">
        <w:rPr>
          <w:rFonts w:cs="Arial"/>
        </w:rPr>
        <w:t xml:space="preserve"> time </w:t>
      </w:r>
      <w:r w:rsidR="00154D8F" w:rsidRPr="00E448C4">
        <w:rPr>
          <w:rFonts w:cs="Arial"/>
        </w:rPr>
        <w:t>remaining before a financial contract expires.</w:t>
      </w:r>
    </w:p>
    <w:p w14:paraId="05831A4C" w14:textId="6607E7FA" w:rsidR="001E5CFE" w:rsidRPr="00E448C4" w:rsidRDefault="001E5CFE" w:rsidP="00744ECE">
      <w:pPr>
        <w:rPr>
          <w:rFonts w:cs="Arial"/>
        </w:rPr>
      </w:pPr>
      <w:r w:rsidRPr="00E448C4">
        <w:rPr>
          <w:rFonts w:cs="Arial"/>
          <w:b/>
          <w:bCs/>
        </w:rPr>
        <w:lastRenderedPageBreak/>
        <w:t>Total Debt Service</w:t>
      </w:r>
      <w:r w:rsidR="00154D8F" w:rsidRPr="00E448C4">
        <w:rPr>
          <w:rFonts w:cs="Arial"/>
        </w:rPr>
        <w:t>: The debt obligations due in the coming year. On a balance sheet, total debt service will include short-term debt and the current portion of long-term debt.</w:t>
      </w:r>
    </w:p>
    <w:p w14:paraId="6B76087F" w14:textId="1FE71A62" w:rsidR="00016A6C" w:rsidRDefault="00016A6C" w:rsidP="00744ECE">
      <w:pPr>
        <w:rPr>
          <w:rFonts w:cs="Arial"/>
        </w:rPr>
      </w:pPr>
      <w:r w:rsidRPr="00E448C4">
        <w:rPr>
          <w:rFonts w:cs="Arial"/>
          <w:b/>
          <w:bCs/>
        </w:rPr>
        <w:t>Value-Added Tax (VAT)</w:t>
      </w:r>
      <w:r w:rsidR="00154D8F" w:rsidRPr="00E448C4">
        <w:rPr>
          <w:rFonts w:cs="Arial"/>
        </w:rPr>
        <w:t>: A consumption tax that is placed on a product whenever value is added at each stage of the supply chain. Also known as a goods and services tax.</w:t>
      </w:r>
    </w:p>
    <w:p w14:paraId="7FEBDBF8" w14:textId="1662A60B" w:rsidR="00FB7EA4" w:rsidRDefault="00FB7EA4" w:rsidP="00744ECE">
      <w:pPr>
        <w:rPr>
          <w:rFonts w:cs="Arial"/>
        </w:rPr>
      </w:pPr>
    </w:p>
    <w:p w14:paraId="6188ABAB" w14:textId="6E1B9451" w:rsidR="00FB7EA4" w:rsidRDefault="00FB7EA4" w:rsidP="00744ECE">
      <w:pPr>
        <w:rPr>
          <w:rFonts w:cs="Arial"/>
        </w:rPr>
      </w:pPr>
    </w:p>
    <w:p w14:paraId="3315D426" w14:textId="7D087EEA" w:rsidR="00FB7EA4" w:rsidRDefault="00FB7EA4" w:rsidP="00744ECE">
      <w:pPr>
        <w:rPr>
          <w:rFonts w:cs="Arial"/>
        </w:rPr>
      </w:pPr>
    </w:p>
    <w:p w14:paraId="49F9C467" w14:textId="25DFFCC3" w:rsidR="00FB7EA4" w:rsidRDefault="00FB7EA4" w:rsidP="00744ECE">
      <w:pPr>
        <w:rPr>
          <w:rFonts w:cs="Arial"/>
        </w:rPr>
      </w:pPr>
    </w:p>
    <w:p w14:paraId="1CF0922B" w14:textId="2D79F323" w:rsidR="00FB7EA4" w:rsidRDefault="00FB7EA4" w:rsidP="00744ECE">
      <w:pPr>
        <w:rPr>
          <w:rFonts w:cs="Arial"/>
        </w:rPr>
      </w:pPr>
    </w:p>
    <w:p w14:paraId="3A715E22" w14:textId="386B1586" w:rsidR="00FB7EA4" w:rsidRDefault="00FB7EA4" w:rsidP="00744ECE">
      <w:pPr>
        <w:rPr>
          <w:rFonts w:cs="Arial"/>
        </w:rPr>
      </w:pPr>
    </w:p>
    <w:p w14:paraId="7F25779D" w14:textId="1492E064" w:rsidR="00FB7EA4" w:rsidRDefault="00FB7EA4" w:rsidP="00744ECE">
      <w:pPr>
        <w:rPr>
          <w:rFonts w:cs="Arial"/>
        </w:rPr>
      </w:pPr>
    </w:p>
    <w:p w14:paraId="61B70876" w14:textId="2EACC6C1" w:rsidR="00FB7EA4" w:rsidRDefault="00FB7EA4" w:rsidP="00744ECE">
      <w:pPr>
        <w:rPr>
          <w:rFonts w:cs="Arial"/>
        </w:rPr>
      </w:pPr>
    </w:p>
    <w:p w14:paraId="3551A5B8" w14:textId="04D4D8D8" w:rsidR="00FB7EA4" w:rsidRDefault="00FB7EA4" w:rsidP="00744ECE">
      <w:pPr>
        <w:rPr>
          <w:rFonts w:cs="Arial"/>
        </w:rPr>
      </w:pPr>
    </w:p>
    <w:p w14:paraId="748F8CCA" w14:textId="4889E508" w:rsidR="00FB7EA4" w:rsidRDefault="00FB7EA4" w:rsidP="00744ECE">
      <w:pPr>
        <w:rPr>
          <w:rFonts w:cs="Arial"/>
        </w:rPr>
      </w:pPr>
    </w:p>
    <w:p w14:paraId="6D24434A" w14:textId="149BD757" w:rsidR="00FB7EA4" w:rsidRDefault="00FB7EA4" w:rsidP="00744ECE">
      <w:pPr>
        <w:rPr>
          <w:rFonts w:cs="Arial"/>
        </w:rPr>
      </w:pPr>
    </w:p>
    <w:p w14:paraId="39A0D216" w14:textId="2C97CBCA" w:rsidR="00FB7EA4" w:rsidRDefault="00FB7EA4" w:rsidP="00744ECE">
      <w:pPr>
        <w:rPr>
          <w:rFonts w:cs="Arial"/>
        </w:rPr>
      </w:pPr>
    </w:p>
    <w:p w14:paraId="5671DD52" w14:textId="296A5848" w:rsidR="00FB7EA4" w:rsidRDefault="00FB7EA4" w:rsidP="00744ECE">
      <w:pPr>
        <w:rPr>
          <w:rFonts w:cs="Arial"/>
        </w:rPr>
      </w:pPr>
    </w:p>
    <w:p w14:paraId="6FC991CD" w14:textId="4DA4A3BF" w:rsidR="00FB7EA4" w:rsidRDefault="00FB7EA4" w:rsidP="00744ECE">
      <w:pPr>
        <w:rPr>
          <w:rFonts w:cs="Arial"/>
        </w:rPr>
      </w:pPr>
    </w:p>
    <w:p w14:paraId="402AAC7B" w14:textId="43965298" w:rsidR="00FB7EA4" w:rsidRDefault="00FB7EA4" w:rsidP="00744ECE">
      <w:pPr>
        <w:rPr>
          <w:rFonts w:cs="Arial"/>
        </w:rPr>
      </w:pPr>
    </w:p>
    <w:p w14:paraId="78EB7399" w14:textId="07C2C216" w:rsidR="00FB7EA4" w:rsidRDefault="00FB7EA4" w:rsidP="00744ECE">
      <w:pPr>
        <w:rPr>
          <w:rFonts w:cs="Arial"/>
        </w:rPr>
      </w:pPr>
    </w:p>
    <w:p w14:paraId="559C86E1" w14:textId="4D656F3D" w:rsidR="00FB7EA4" w:rsidRDefault="00FB7EA4" w:rsidP="00744ECE">
      <w:pPr>
        <w:rPr>
          <w:rFonts w:cs="Arial"/>
        </w:rPr>
      </w:pPr>
    </w:p>
    <w:p w14:paraId="476958B7" w14:textId="1938157D" w:rsidR="00FB7EA4" w:rsidRDefault="00FB7EA4" w:rsidP="00744ECE">
      <w:pPr>
        <w:rPr>
          <w:rFonts w:cs="Arial"/>
        </w:rPr>
      </w:pPr>
    </w:p>
    <w:p w14:paraId="179D16C8" w14:textId="6C2DB5B0" w:rsidR="00FB7EA4" w:rsidRDefault="00FB7EA4" w:rsidP="00744ECE">
      <w:pPr>
        <w:rPr>
          <w:rFonts w:cs="Arial"/>
        </w:rPr>
      </w:pPr>
    </w:p>
    <w:p w14:paraId="30A00D6F" w14:textId="00779BFB" w:rsidR="00FB7EA4" w:rsidRDefault="00FB7EA4" w:rsidP="00744ECE">
      <w:pPr>
        <w:rPr>
          <w:rFonts w:cs="Arial"/>
        </w:rPr>
      </w:pPr>
    </w:p>
    <w:p w14:paraId="07A7970C" w14:textId="7BEB96B1" w:rsidR="00FB7EA4" w:rsidRDefault="00FB7EA4" w:rsidP="00744ECE">
      <w:pPr>
        <w:rPr>
          <w:rFonts w:cs="Arial"/>
        </w:rPr>
      </w:pPr>
    </w:p>
    <w:p w14:paraId="1800F585" w14:textId="36B1DB9C" w:rsidR="00FB7EA4" w:rsidRDefault="00FB7EA4" w:rsidP="00744ECE">
      <w:pPr>
        <w:rPr>
          <w:rFonts w:cs="Arial"/>
        </w:rPr>
      </w:pPr>
    </w:p>
    <w:p w14:paraId="6042B128" w14:textId="7000B142" w:rsidR="00FB7EA4" w:rsidRDefault="00FB7EA4" w:rsidP="00744ECE">
      <w:pPr>
        <w:rPr>
          <w:rFonts w:cs="Arial"/>
        </w:rPr>
      </w:pPr>
    </w:p>
    <w:p w14:paraId="659D1CB9" w14:textId="77777777" w:rsidR="00FB7EA4" w:rsidRPr="00E448C4" w:rsidRDefault="00FB7EA4" w:rsidP="00744ECE">
      <w:pPr>
        <w:rPr>
          <w:rFonts w:cs="Arial"/>
        </w:rPr>
      </w:pPr>
    </w:p>
    <w:p w14:paraId="79B7BDF9" w14:textId="19C36F95" w:rsidR="00C0489A" w:rsidRPr="00274437" w:rsidRDefault="0013671F" w:rsidP="00FB7EA4">
      <w:pPr>
        <w:pStyle w:val="GMIHeading1"/>
      </w:pPr>
      <w:bookmarkStart w:id="9" w:name="_Toc82090372"/>
      <w:bookmarkStart w:id="10" w:name="_Toc77693625"/>
      <w:r>
        <w:lastRenderedPageBreak/>
        <w:t xml:space="preserve">2 </w:t>
      </w:r>
      <w:r w:rsidR="00FB7EA4">
        <w:t>OrganEcs Anaerobic Digestion: Tab-by-Tab Guide</w:t>
      </w:r>
      <w:bookmarkEnd w:id="9"/>
      <w:r w:rsidR="00FB7EA4">
        <w:t xml:space="preserve"> </w:t>
      </w:r>
    </w:p>
    <w:p w14:paraId="18FFFD1C" w14:textId="2617B093" w:rsidR="00C0489A" w:rsidRPr="00274437" w:rsidRDefault="0013671F" w:rsidP="0013671F">
      <w:pPr>
        <w:pStyle w:val="GMIHeading2"/>
      </w:pPr>
      <w:bookmarkStart w:id="11" w:name="_Toc77693624"/>
      <w:bookmarkStart w:id="12" w:name="_Toc82090373"/>
      <w:r>
        <w:t xml:space="preserve">2.1 </w:t>
      </w:r>
      <w:r w:rsidR="00C0489A" w:rsidRPr="00274437">
        <w:t>Basic Tool Information (Brown Tabs)</w:t>
      </w:r>
      <w:bookmarkEnd w:id="11"/>
      <w:bookmarkEnd w:id="12"/>
    </w:p>
    <w:p w14:paraId="5E48EB5C" w14:textId="2FD292ED" w:rsidR="009A0A90" w:rsidRPr="00E448C4" w:rsidRDefault="0013671F" w:rsidP="0013671F">
      <w:pPr>
        <w:pStyle w:val="GMIHeading3"/>
      </w:pPr>
      <w:bookmarkStart w:id="13" w:name="_Toc82090374"/>
      <w:r>
        <w:t xml:space="preserve">2.1.1 </w:t>
      </w:r>
      <w:r w:rsidR="009A0A90" w:rsidRPr="00E448C4">
        <w:t>Cover</w:t>
      </w:r>
      <w:bookmarkEnd w:id="10"/>
      <w:bookmarkEnd w:id="13"/>
    </w:p>
    <w:p w14:paraId="2E7A148B" w14:textId="77777777" w:rsidR="009A0A90" w:rsidRPr="00E448C4" w:rsidRDefault="009A0A90" w:rsidP="009A0A90">
      <w:pPr>
        <w:rPr>
          <w:rFonts w:cs="Arial"/>
        </w:rPr>
      </w:pPr>
      <w:r w:rsidRPr="00E448C4">
        <w:rPr>
          <w:rFonts w:cs="Arial"/>
        </w:rPr>
        <w:t>The Cover tab includes attribution and contact information.</w:t>
      </w:r>
    </w:p>
    <w:p w14:paraId="1C72F675" w14:textId="7BB86AD7" w:rsidR="009A0A90" w:rsidRPr="00E448C4" w:rsidRDefault="0013671F" w:rsidP="0013671F">
      <w:pPr>
        <w:pStyle w:val="GMIHeading3"/>
      </w:pPr>
      <w:bookmarkStart w:id="14" w:name="_Toc82090375"/>
      <w:r>
        <w:t xml:space="preserve">2.1.2 </w:t>
      </w:r>
      <w:r w:rsidR="00862245" w:rsidRPr="0013671F">
        <w:t>Title</w:t>
      </w:r>
      <w:bookmarkEnd w:id="14"/>
    </w:p>
    <w:p w14:paraId="68478052" w14:textId="640A3A06" w:rsidR="00862245" w:rsidRPr="00E448C4" w:rsidRDefault="00862245" w:rsidP="00862245">
      <w:pPr>
        <w:rPr>
          <w:rFonts w:cs="Arial"/>
        </w:rPr>
      </w:pPr>
      <w:r w:rsidRPr="00E448C4">
        <w:rPr>
          <w:rFonts w:cs="Arial"/>
        </w:rPr>
        <w:t xml:space="preserve">The Title tab </w:t>
      </w:r>
      <w:r w:rsidR="00F3574D" w:rsidRPr="00E448C4">
        <w:rPr>
          <w:rFonts w:cs="Arial"/>
        </w:rPr>
        <w:t>includes the full title</w:t>
      </w:r>
      <w:r w:rsidR="00E9494F" w:rsidRPr="00E448C4">
        <w:rPr>
          <w:rFonts w:cs="Arial"/>
        </w:rPr>
        <w:t>, acknowledgements, and disclaimer,</w:t>
      </w:r>
      <w:r w:rsidR="00F3574D" w:rsidRPr="00E448C4">
        <w:rPr>
          <w:rFonts w:cs="Arial"/>
        </w:rPr>
        <w:t xml:space="preserve"> as well as a</w:t>
      </w:r>
      <w:r w:rsidRPr="00E448C4">
        <w:rPr>
          <w:rFonts w:cs="Arial"/>
        </w:rPr>
        <w:t xml:space="preserve"> recommended citation for the tool. </w:t>
      </w:r>
    </w:p>
    <w:p w14:paraId="36491062" w14:textId="683CB353" w:rsidR="009A0A90" w:rsidRPr="00E448C4" w:rsidRDefault="0013671F" w:rsidP="0013671F">
      <w:pPr>
        <w:pStyle w:val="GMIHeading3"/>
      </w:pPr>
      <w:bookmarkStart w:id="15" w:name="_Toc82090376"/>
      <w:r>
        <w:t xml:space="preserve">2.1.3 </w:t>
      </w:r>
      <w:r w:rsidR="00862245" w:rsidRPr="0013671F">
        <w:t>Contents</w:t>
      </w:r>
      <w:bookmarkEnd w:id="15"/>
    </w:p>
    <w:p w14:paraId="28F1CE20" w14:textId="4549B6EF" w:rsidR="00862245" w:rsidRPr="00E448C4" w:rsidRDefault="00862245" w:rsidP="00862245">
      <w:pPr>
        <w:rPr>
          <w:rFonts w:cs="Arial"/>
        </w:rPr>
      </w:pPr>
      <w:r w:rsidRPr="00E448C4">
        <w:rPr>
          <w:rFonts w:cs="Arial"/>
        </w:rPr>
        <w:t xml:space="preserve">The Contents tab has the names of all tabs in the OrganEcs tool color-coded and listed as hyperlinks </w:t>
      </w:r>
      <w:r w:rsidR="00043093" w:rsidRPr="00E448C4">
        <w:rPr>
          <w:rFonts w:cs="Arial"/>
        </w:rPr>
        <w:t>to easily navigate to any tabs.</w:t>
      </w:r>
    </w:p>
    <w:p w14:paraId="0BFB11AC" w14:textId="677B6DE8" w:rsidR="009A0A90" w:rsidRPr="00E448C4" w:rsidRDefault="0013671F" w:rsidP="0013671F">
      <w:pPr>
        <w:pStyle w:val="GMIHeading3"/>
      </w:pPr>
      <w:bookmarkStart w:id="16" w:name="_Toc82090377"/>
      <w:r>
        <w:t xml:space="preserve">2.1.4 </w:t>
      </w:r>
      <w:r w:rsidR="00862245" w:rsidRPr="0013671F">
        <w:t>Background</w:t>
      </w:r>
      <w:bookmarkEnd w:id="16"/>
    </w:p>
    <w:p w14:paraId="39E1A2B1" w14:textId="55FE14F0" w:rsidR="009A0A90" w:rsidRPr="00E448C4" w:rsidRDefault="00862245" w:rsidP="009A0A90">
      <w:pPr>
        <w:rPr>
          <w:rFonts w:cs="Arial"/>
        </w:rPr>
      </w:pPr>
      <w:r w:rsidRPr="00E448C4">
        <w:rPr>
          <w:rFonts w:cs="Arial"/>
        </w:rPr>
        <w:t xml:space="preserve">The Background tab briefly describes the purpose of the OrganEcs tool. </w:t>
      </w:r>
    </w:p>
    <w:p w14:paraId="202B246A" w14:textId="60B1DEF4" w:rsidR="009A0A90" w:rsidRPr="00E448C4" w:rsidRDefault="0013671F" w:rsidP="0013671F">
      <w:pPr>
        <w:pStyle w:val="GMIHeading3"/>
      </w:pPr>
      <w:bookmarkStart w:id="17" w:name="_Toc77693629"/>
      <w:bookmarkStart w:id="18" w:name="_Toc82090378"/>
      <w:r>
        <w:t xml:space="preserve">2.1.5 </w:t>
      </w:r>
      <w:r w:rsidR="009A0A90" w:rsidRPr="0013671F">
        <w:t>Instructions</w:t>
      </w:r>
      <w:bookmarkEnd w:id="17"/>
      <w:bookmarkEnd w:id="18"/>
    </w:p>
    <w:p w14:paraId="3220AE41" w14:textId="10D5AD0F" w:rsidR="009A0A90" w:rsidRPr="00E448C4" w:rsidRDefault="009A0A90" w:rsidP="009A0A90">
      <w:pPr>
        <w:rPr>
          <w:rFonts w:cs="Arial"/>
        </w:rPr>
      </w:pPr>
      <w:r w:rsidRPr="00E448C4">
        <w:rPr>
          <w:rFonts w:cs="Arial"/>
        </w:rPr>
        <w:t xml:space="preserve">The Instructions tab </w:t>
      </w:r>
      <w:r w:rsidR="00862245" w:rsidRPr="00E448C4">
        <w:rPr>
          <w:rFonts w:cs="Arial"/>
        </w:rPr>
        <w:t>provides an overview of the model organization and</w:t>
      </w:r>
      <w:r w:rsidRPr="00E448C4">
        <w:rPr>
          <w:rFonts w:cs="Arial"/>
        </w:rPr>
        <w:t xml:space="preserve"> describes what a user must do to complete a </w:t>
      </w:r>
      <w:r w:rsidR="00862245" w:rsidRPr="00E448C4">
        <w:rPr>
          <w:rFonts w:cs="Arial"/>
        </w:rPr>
        <w:t>OrganEcs</w:t>
      </w:r>
      <w:r w:rsidRPr="00E448C4">
        <w:rPr>
          <w:rFonts w:cs="Arial"/>
        </w:rPr>
        <w:t xml:space="preserve"> run.</w:t>
      </w:r>
      <w:r w:rsidR="00862245" w:rsidRPr="00E448C4">
        <w:rPr>
          <w:rFonts w:cs="Arial"/>
        </w:rPr>
        <w:t xml:space="preserve"> You can also find a list of tool limitations</w:t>
      </w:r>
      <w:r w:rsidR="00E9494F" w:rsidRPr="00E448C4">
        <w:rPr>
          <w:rFonts w:cs="Arial"/>
        </w:rPr>
        <w:t xml:space="preserve"> and assumptions</w:t>
      </w:r>
      <w:r w:rsidR="00862245" w:rsidRPr="00E448C4">
        <w:rPr>
          <w:rFonts w:cs="Arial"/>
        </w:rPr>
        <w:t>.</w:t>
      </w:r>
    </w:p>
    <w:p w14:paraId="359FB479" w14:textId="313C03BF" w:rsidR="000B0216" w:rsidRPr="00274437" w:rsidRDefault="0013671F" w:rsidP="0013671F">
      <w:pPr>
        <w:pStyle w:val="GMIHeading2"/>
      </w:pPr>
      <w:bookmarkStart w:id="19" w:name="_Toc77693631"/>
      <w:bookmarkStart w:id="20" w:name="_Toc82090379"/>
      <w:r>
        <w:t xml:space="preserve">2.2 </w:t>
      </w:r>
      <w:r w:rsidR="000B0216" w:rsidRPr="00274437">
        <w:t>Data Inputs (Blue Tabs)</w:t>
      </w:r>
      <w:bookmarkEnd w:id="19"/>
      <w:bookmarkEnd w:id="20"/>
    </w:p>
    <w:p w14:paraId="4ADB4AAA" w14:textId="1B738965" w:rsidR="000B0216" w:rsidRPr="00274437" w:rsidRDefault="0013671F" w:rsidP="0013671F">
      <w:pPr>
        <w:pStyle w:val="GMIHeading3"/>
      </w:pPr>
      <w:bookmarkStart w:id="21" w:name="_Toc82090380"/>
      <w:r>
        <w:t xml:space="preserve">2.2.1 </w:t>
      </w:r>
      <w:r w:rsidR="00BE2454" w:rsidRPr="00274437">
        <w:t xml:space="preserve">Facility </w:t>
      </w:r>
      <w:r w:rsidR="00BE2454" w:rsidRPr="001F476F">
        <w:t>Inputs</w:t>
      </w:r>
      <w:bookmarkEnd w:id="21"/>
    </w:p>
    <w:p w14:paraId="3D5D84B3" w14:textId="49C14814" w:rsidR="006F6FA9" w:rsidRPr="0013671F" w:rsidRDefault="006F6FA9" w:rsidP="006F6FA9">
      <w:pPr>
        <w:rPr>
          <w:rFonts w:cs="Arial"/>
        </w:rPr>
      </w:pPr>
      <w:r w:rsidRPr="0013671F">
        <w:rPr>
          <w:rFonts w:cs="Arial"/>
        </w:rPr>
        <w:t xml:space="preserve">This tab collects information about </w:t>
      </w:r>
      <w:r w:rsidR="00CA5602" w:rsidRPr="0013671F">
        <w:rPr>
          <w:rFonts w:cs="Arial"/>
        </w:rPr>
        <w:t xml:space="preserve">the </w:t>
      </w:r>
      <w:r w:rsidR="002F1888" w:rsidRPr="0013671F">
        <w:rPr>
          <w:rFonts w:cs="Arial"/>
        </w:rPr>
        <w:t xml:space="preserve">design, construction, and operation parameters </w:t>
      </w:r>
      <w:r w:rsidR="00CA5602" w:rsidRPr="0013671F">
        <w:rPr>
          <w:rFonts w:cs="Arial"/>
        </w:rPr>
        <w:t xml:space="preserve">for </w:t>
      </w:r>
      <w:r w:rsidR="00122598" w:rsidRPr="0013671F">
        <w:rPr>
          <w:rFonts w:cs="Arial"/>
        </w:rPr>
        <w:t>your proposed</w:t>
      </w:r>
      <w:r w:rsidR="00CA5602" w:rsidRPr="0013671F">
        <w:rPr>
          <w:rFonts w:cs="Arial"/>
        </w:rPr>
        <w:t xml:space="preserve"> facility</w:t>
      </w:r>
      <w:r w:rsidR="002F1888" w:rsidRPr="0013671F">
        <w:rPr>
          <w:rFonts w:cs="Arial"/>
        </w:rPr>
        <w:t>.</w:t>
      </w:r>
    </w:p>
    <w:p w14:paraId="0195CD4F" w14:textId="10B1CC0D" w:rsidR="009A0A90" w:rsidRPr="0013671F" w:rsidRDefault="00247291" w:rsidP="00CA5602">
      <w:pPr>
        <w:pStyle w:val="Heading4"/>
        <w:rPr>
          <w:rFonts w:ascii="Arial Nova Light" w:hAnsi="Arial Nova Light"/>
          <w:color w:val="0A4990"/>
        </w:rPr>
      </w:pPr>
      <w:r w:rsidRPr="0013671F">
        <w:rPr>
          <w:rFonts w:ascii="Arial Nova Light" w:hAnsi="Arial Nova Light"/>
          <w:color w:val="0A4990"/>
        </w:rPr>
        <w:t xml:space="preserve">Technology </w:t>
      </w:r>
      <w:r w:rsidR="00CA5602" w:rsidRPr="0013671F">
        <w:rPr>
          <w:rFonts w:ascii="Arial Nova Light" w:hAnsi="Arial Nova Light"/>
          <w:color w:val="0A4990"/>
        </w:rPr>
        <w:t>S</w:t>
      </w:r>
      <w:r w:rsidRPr="0013671F">
        <w:rPr>
          <w:rFonts w:ascii="Arial Nova Light" w:hAnsi="Arial Nova Light"/>
          <w:color w:val="0A4990"/>
        </w:rPr>
        <w:t>election</w:t>
      </w:r>
    </w:p>
    <w:p w14:paraId="0FEDBE3B" w14:textId="711DD9A8" w:rsidR="00CA5602" w:rsidRPr="0013671F" w:rsidRDefault="00CA5602" w:rsidP="00CA5602">
      <w:pPr>
        <w:rPr>
          <w:rFonts w:cs="Arial"/>
        </w:rPr>
      </w:pPr>
      <w:r w:rsidRPr="0013671F">
        <w:rPr>
          <w:rFonts w:cs="Arial"/>
        </w:rPr>
        <w:t xml:space="preserve">Select “Yes” in the dropdown list for the </w:t>
      </w:r>
      <w:r w:rsidR="00344159" w:rsidRPr="0013671F">
        <w:rPr>
          <w:rFonts w:cs="Arial"/>
        </w:rPr>
        <w:t xml:space="preserve">waste </w:t>
      </w:r>
      <w:r w:rsidRPr="0013671F">
        <w:rPr>
          <w:rFonts w:cs="Arial"/>
        </w:rPr>
        <w:t>treatment technologies you are interested in developing or comparing. If you do not want to include the technology, select “No.”</w:t>
      </w:r>
    </w:p>
    <w:p w14:paraId="17DA9395" w14:textId="67469EEE" w:rsidR="00247291" w:rsidRPr="0013671F" w:rsidRDefault="002C2BDD" w:rsidP="002A2368">
      <w:pPr>
        <w:pStyle w:val="Heading4"/>
        <w:rPr>
          <w:rFonts w:ascii="Arial Nova Light" w:hAnsi="Arial Nova Light"/>
          <w:color w:val="0A4990"/>
        </w:rPr>
      </w:pPr>
      <w:r w:rsidRPr="0013671F">
        <w:rPr>
          <w:rFonts w:ascii="Arial Nova Light" w:hAnsi="Arial Nova Light"/>
          <w:color w:val="0A4990"/>
        </w:rPr>
        <w:t xml:space="preserve">Facility </w:t>
      </w:r>
      <w:r w:rsidR="00CA5602" w:rsidRPr="0013671F">
        <w:rPr>
          <w:rFonts w:ascii="Arial Nova Light" w:hAnsi="Arial Nova Light"/>
          <w:color w:val="0A4990"/>
        </w:rPr>
        <w:t>O</w:t>
      </w:r>
      <w:r w:rsidRPr="0013671F">
        <w:rPr>
          <w:rFonts w:ascii="Arial Nova Light" w:hAnsi="Arial Nova Light"/>
          <w:color w:val="0A4990"/>
        </w:rPr>
        <w:t>perations</w:t>
      </w:r>
    </w:p>
    <w:p w14:paraId="21513248" w14:textId="446F2BD4" w:rsidR="00C4227D" w:rsidRPr="0013671F" w:rsidRDefault="003676C7" w:rsidP="00E16792">
      <w:pPr>
        <w:rPr>
          <w:rFonts w:cs="Arial"/>
        </w:rPr>
      </w:pPr>
      <w:r w:rsidRPr="0013671F">
        <w:rPr>
          <w:rFonts w:cs="Arial"/>
        </w:rPr>
        <w:t>Enter the year construction will begin on the facility and the estimated time period for construction in the “Investment Year” and “Construction Period” fields (</w:t>
      </w:r>
      <w:r w:rsidR="00896ABD" w:rsidRPr="0013671F">
        <w:rPr>
          <w:rFonts w:cs="Arial"/>
        </w:rPr>
        <w:t>cells E</w:t>
      </w:r>
      <w:r w:rsidRPr="0013671F">
        <w:rPr>
          <w:rFonts w:cs="Arial"/>
        </w:rPr>
        <w:t xml:space="preserve">14 and </w:t>
      </w:r>
      <w:r w:rsidR="00896ABD" w:rsidRPr="0013671F">
        <w:rPr>
          <w:rFonts w:cs="Arial"/>
        </w:rPr>
        <w:t>E</w:t>
      </w:r>
      <w:r w:rsidRPr="0013671F">
        <w:rPr>
          <w:rFonts w:cs="Arial"/>
        </w:rPr>
        <w:t>15</w:t>
      </w:r>
      <w:r w:rsidR="00896ABD" w:rsidRPr="0013671F">
        <w:rPr>
          <w:rFonts w:cs="Arial"/>
        </w:rPr>
        <w:t>, respectively</w:t>
      </w:r>
      <w:r w:rsidRPr="0013671F">
        <w:rPr>
          <w:rFonts w:cs="Arial"/>
        </w:rPr>
        <w:t xml:space="preserve">). The gray cell will auto-populate </w:t>
      </w:r>
      <w:r w:rsidR="00896ABD" w:rsidRPr="0013671F">
        <w:rPr>
          <w:rFonts w:cs="Arial"/>
        </w:rPr>
        <w:t xml:space="preserve">the </w:t>
      </w:r>
      <w:r w:rsidR="000835A6" w:rsidRPr="0013671F">
        <w:rPr>
          <w:rFonts w:cs="Arial"/>
        </w:rPr>
        <w:t>“</w:t>
      </w:r>
      <w:r w:rsidR="00896ABD" w:rsidRPr="0013671F">
        <w:rPr>
          <w:rFonts w:cs="Arial"/>
        </w:rPr>
        <w:t xml:space="preserve">Operations Start Year” </w:t>
      </w:r>
      <w:r w:rsidRPr="0013671F">
        <w:rPr>
          <w:rFonts w:cs="Arial"/>
        </w:rPr>
        <w:t xml:space="preserve">based on the information entered into the blue cells. </w:t>
      </w:r>
      <w:r w:rsidR="00C554FD" w:rsidRPr="0013671F">
        <w:rPr>
          <w:rFonts w:cs="Arial"/>
        </w:rPr>
        <w:t xml:space="preserve">Fill in the average round-trip distances in kilometers from the proposed facility to surrounding waste generators and landfills in rows 21 to 23. </w:t>
      </w:r>
      <w:r w:rsidR="00C4227D" w:rsidRPr="0013671F">
        <w:rPr>
          <w:rFonts w:cs="Arial"/>
        </w:rPr>
        <w:t xml:space="preserve"> </w:t>
      </w:r>
    </w:p>
    <w:p w14:paraId="284BA687" w14:textId="36D4BD6E" w:rsidR="002C2BDD" w:rsidRPr="0013671F" w:rsidRDefault="002C2BDD" w:rsidP="002A735B">
      <w:pPr>
        <w:pStyle w:val="Heading4"/>
        <w:rPr>
          <w:rFonts w:ascii="Arial Nova Light" w:hAnsi="Arial Nova Light"/>
          <w:color w:val="0A4990"/>
        </w:rPr>
      </w:pPr>
      <w:r w:rsidRPr="0013671F">
        <w:rPr>
          <w:rFonts w:ascii="Arial Nova Light" w:hAnsi="Arial Nova Light"/>
          <w:color w:val="0A4990"/>
        </w:rPr>
        <w:t xml:space="preserve">Facility </w:t>
      </w:r>
      <w:r w:rsidR="00CA5602" w:rsidRPr="0013671F">
        <w:rPr>
          <w:rFonts w:ascii="Arial Nova Light" w:hAnsi="Arial Nova Light"/>
          <w:color w:val="0A4990"/>
        </w:rPr>
        <w:t>D</w:t>
      </w:r>
      <w:r w:rsidRPr="0013671F">
        <w:rPr>
          <w:rFonts w:ascii="Arial Nova Light" w:hAnsi="Arial Nova Light"/>
          <w:color w:val="0A4990"/>
        </w:rPr>
        <w:t>esign</w:t>
      </w:r>
    </w:p>
    <w:p w14:paraId="27D9A637" w14:textId="7A2CEB44" w:rsidR="00122598" w:rsidRPr="0013671F" w:rsidRDefault="00A36511" w:rsidP="00CA5602">
      <w:pPr>
        <w:rPr>
          <w:rFonts w:cs="Arial"/>
        </w:rPr>
      </w:pPr>
      <w:r w:rsidRPr="0013671F">
        <w:rPr>
          <w:rFonts w:cs="Arial"/>
        </w:rPr>
        <w:t>E</w:t>
      </w:r>
      <w:r w:rsidR="00122598" w:rsidRPr="0013671F">
        <w:rPr>
          <w:rFonts w:cs="Arial"/>
        </w:rPr>
        <w:t>nter the percentage of capital expenditures invested into</w:t>
      </w:r>
      <w:r w:rsidRPr="0013671F">
        <w:rPr>
          <w:rFonts w:cs="Arial"/>
        </w:rPr>
        <w:t xml:space="preserve"> waste</w:t>
      </w:r>
      <w:r w:rsidR="00122598" w:rsidRPr="0013671F">
        <w:rPr>
          <w:rFonts w:cs="Arial"/>
        </w:rPr>
        <w:t xml:space="preserve"> treatment equipment that are subject to VAT.</w:t>
      </w:r>
      <w:r w:rsidRPr="0013671F">
        <w:rPr>
          <w:rFonts w:cs="Arial"/>
        </w:rPr>
        <w:t xml:space="preserve"> In the “Ancillary Costs” field in row 28, enter the</w:t>
      </w:r>
      <w:r w:rsidR="000E7B10" w:rsidRPr="0013671F">
        <w:rPr>
          <w:rFonts w:cs="Arial"/>
        </w:rPr>
        <w:t xml:space="preserve"> total</w:t>
      </w:r>
      <w:r w:rsidRPr="0013671F">
        <w:rPr>
          <w:rFonts w:cs="Arial"/>
        </w:rPr>
        <w:t xml:space="preserve"> </w:t>
      </w:r>
      <w:r w:rsidR="000E7B10" w:rsidRPr="0013671F">
        <w:rPr>
          <w:rFonts w:cs="Arial"/>
        </w:rPr>
        <w:t xml:space="preserve">costs and expenses </w:t>
      </w:r>
      <w:r w:rsidRPr="0013671F">
        <w:rPr>
          <w:rFonts w:cs="Arial"/>
        </w:rPr>
        <w:t xml:space="preserve">incurred </w:t>
      </w:r>
      <w:r w:rsidR="000E7B10" w:rsidRPr="0013671F">
        <w:rPr>
          <w:rFonts w:cs="Arial"/>
        </w:rPr>
        <w:t xml:space="preserve">from operating </w:t>
      </w:r>
      <w:r w:rsidR="00832B0F" w:rsidRPr="0013671F">
        <w:rPr>
          <w:rFonts w:cs="Arial"/>
        </w:rPr>
        <w:t xml:space="preserve">the </w:t>
      </w:r>
      <w:r w:rsidR="000E7B10" w:rsidRPr="0013671F">
        <w:rPr>
          <w:rFonts w:cs="Arial"/>
        </w:rPr>
        <w:t>equipment.</w:t>
      </w:r>
    </w:p>
    <w:p w14:paraId="33C48C3E" w14:textId="6BB35B59" w:rsidR="00A64F4D" w:rsidRPr="0013671F" w:rsidRDefault="00A64F4D" w:rsidP="00CA5602">
      <w:pPr>
        <w:rPr>
          <w:rFonts w:cs="Arial"/>
        </w:rPr>
      </w:pPr>
      <w:r w:rsidRPr="0013671F">
        <w:rPr>
          <w:rFonts w:cs="Arial"/>
        </w:rPr>
        <w:lastRenderedPageBreak/>
        <w:t>If your facility will use wet anaerobic digestion treatment technology, indicate whether you intend to use wastewater treatment infrastructure on</w:t>
      </w:r>
      <w:r w:rsidR="00AA28CF" w:rsidRPr="0013671F">
        <w:rPr>
          <w:rFonts w:cs="Arial"/>
        </w:rPr>
        <w:t xml:space="preserve"> </w:t>
      </w:r>
      <w:r w:rsidRPr="0013671F">
        <w:rPr>
          <w:rFonts w:cs="Arial"/>
        </w:rPr>
        <w:t>site</w:t>
      </w:r>
      <w:r w:rsidR="008F604A" w:rsidRPr="0013671F">
        <w:rPr>
          <w:rFonts w:cs="Arial"/>
        </w:rPr>
        <w:t xml:space="preserve"> using the dropdown menu</w:t>
      </w:r>
      <w:r w:rsidRPr="0013671F">
        <w:rPr>
          <w:rFonts w:cs="Arial"/>
        </w:rPr>
        <w:t xml:space="preserve"> in row 29. Selecting “Yes” will include the costs for wastewater treatment infrastructure and exclude operating costs associated with offsite wastewater management.</w:t>
      </w:r>
    </w:p>
    <w:p w14:paraId="207E527E" w14:textId="24E82F11" w:rsidR="00BE2454" w:rsidRPr="00274437" w:rsidRDefault="0013671F" w:rsidP="0013671F">
      <w:pPr>
        <w:pStyle w:val="GMIHeading3"/>
      </w:pPr>
      <w:bookmarkStart w:id="22" w:name="_Toc82090381"/>
      <w:r>
        <w:t xml:space="preserve">2.2.2 </w:t>
      </w:r>
      <w:r w:rsidR="00BE2454" w:rsidRPr="00274437">
        <w:t xml:space="preserve">Waste </w:t>
      </w:r>
      <w:r w:rsidR="00BE2454" w:rsidRPr="001F476F">
        <w:t>Inputs</w:t>
      </w:r>
      <w:bookmarkEnd w:id="22"/>
    </w:p>
    <w:p w14:paraId="2CE74E42" w14:textId="498C2BC3" w:rsidR="00671437" w:rsidRPr="0013671F" w:rsidRDefault="00671437" w:rsidP="00671437">
      <w:pPr>
        <w:rPr>
          <w:rFonts w:cs="Arial"/>
        </w:rPr>
      </w:pPr>
      <w:r w:rsidRPr="0013671F">
        <w:rPr>
          <w:rFonts w:cs="Arial"/>
        </w:rPr>
        <w:t xml:space="preserve">This tab collects information about the </w:t>
      </w:r>
      <w:r w:rsidR="009F4215" w:rsidRPr="0013671F">
        <w:rPr>
          <w:rFonts w:cs="Arial"/>
        </w:rPr>
        <w:t>availability and</w:t>
      </w:r>
      <w:r w:rsidR="007F3FCA" w:rsidRPr="0013671F">
        <w:rPr>
          <w:rFonts w:cs="Arial"/>
        </w:rPr>
        <w:t xml:space="preserve"> characteristics of the waste </w:t>
      </w:r>
      <w:r w:rsidR="002C3ECF" w:rsidRPr="0013671F">
        <w:rPr>
          <w:rFonts w:cs="Arial"/>
        </w:rPr>
        <w:t xml:space="preserve">feedstock </w:t>
      </w:r>
      <w:r w:rsidR="007F3FCA" w:rsidRPr="0013671F">
        <w:rPr>
          <w:rFonts w:cs="Arial"/>
        </w:rPr>
        <w:t xml:space="preserve">you intend to send to the facility. </w:t>
      </w:r>
    </w:p>
    <w:p w14:paraId="292F7428" w14:textId="68F058BC" w:rsidR="00BE2454" w:rsidRPr="0013671F" w:rsidRDefault="002C2BDD" w:rsidP="000C6EF8">
      <w:pPr>
        <w:pStyle w:val="Heading4"/>
        <w:rPr>
          <w:rFonts w:ascii="Arial Nova Light" w:hAnsi="Arial Nova Light"/>
          <w:color w:val="0A4990"/>
        </w:rPr>
      </w:pPr>
      <w:r w:rsidRPr="0013671F">
        <w:rPr>
          <w:rFonts w:ascii="Arial Nova Light" w:hAnsi="Arial Nova Light"/>
          <w:color w:val="0A4990"/>
        </w:rPr>
        <w:t xml:space="preserve">Feedstock </w:t>
      </w:r>
      <w:r w:rsidR="00EE7E07" w:rsidRPr="0013671F">
        <w:rPr>
          <w:rFonts w:ascii="Arial Nova Light" w:hAnsi="Arial Nova Light"/>
          <w:color w:val="0A4990"/>
        </w:rPr>
        <w:t>Availability Bulking Agent</w:t>
      </w:r>
    </w:p>
    <w:p w14:paraId="55FE506F" w14:textId="041356A3" w:rsidR="002A6D79" w:rsidRPr="0013671F" w:rsidRDefault="002A6D79" w:rsidP="002A6D79">
      <w:pPr>
        <w:rPr>
          <w:rFonts w:cs="Arial"/>
        </w:rPr>
      </w:pPr>
      <w:r w:rsidRPr="0013671F">
        <w:rPr>
          <w:rFonts w:cs="Arial"/>
        </w:rPr>
        <w:t>Enter the</w:t>
      </w:r>
      <w:r w:rsidR="00046EBA" w:rsidRPr="0013671F">
        <w:rPr>
          <w:rFonts w:cs="Arial"/>
        </w:rPr>
        <w:t xml:space="preserve"> amount </w:t>
      </w:r>
      <w:r w:rsidR="008F604A" w:rsidRPr="0013671F">
        <w:rPr>
          <w:rFonts w:cs="Arial"/>
        </w:rPr>
        <w:t xml:space="preserve">of waste </w:t>
      </w:r>
      <w:r w:rsidR="00896ABD" w:rsidRPr="0013671F">
        <w:rPr>
          <w:rFonts w:cs="Arial"/>
        </w:rPr>
        <w:t xml:space="preserve">in tonnes </w:t>
      </w:r>
      <w:r w:rsidR="008F604A" w:rsidRPr="0013671F">
        <w:rPr>
          <w:rFonts w:cs="Arial"/>
        </w:rPr>
        <w:t xml:space="preserve">that will be sent to the facility per year for each waste type </w:t>
      </w:r>
      <w:r w:rsidRPr="0013671F">
        <w:rPr>
          <w:rFonts w:cs="Arial"/>
        </w:rPr>
        <w:t>in the</w:t>
      </w:r>
      <w:r w:rsidR="006A28BB" w:rsidRPr="0013671F">
        <w:rPr>
          <w:rFonts w:cs="Arial"/>
        </w:rPr>
        <w:t xml:space="preserve"> </w:t>
      </w:r>
      <w:r w:rsidR="00C55D72" w:rsidRPr="0013671F">
        <w:rPr>
          <w:rFonts w:cs="Arial"/>
        </w:rPr>
        <w:t xml:space="preserve">blue </w:t>
      </w:r>
      <w:r w:rsidR="006A28BB" w:rsidRPr="0013671F">
        <w:rPr>
          <w:rFonts w:cs="Arial"/>
        </w:rPr>
        <w:t>cells in row 20</w:t>
      </w:r>
      <w:r w:rsidR="008F604A" w:rsidRPr="0013671F">
        <w:rPr>
          <w:rFonts w:cs="Arial"/>
        </w:rPr>
        <w:t xml:space="preserve"> </w:t>
      </w:r>
      <w:r w:rsidR="00C55D72" w:rsidRPr="0013671F">
        <w:rPr>
          <w:rFonts w:cs="Arial"/>
        </w:rPr>
        <w:t>(“Yard Waste” through “</w:t>
      </w:r>
      <w:r w:rsidRPr="0013671F">
        <w:rPr>
          <w:rFonts w:cs="Arial"/>
        </w:rPr>
        <w:t>Purchased Bulking Agent</w:t>
      </w:r>
      <w:r w:rsidR="00C55D72" w:rsidRPr="0013671F">
        <w:rPr>
          <w:rFonts w:cs="Arial"/>
        </w:rPr>
        <w:t xml:space="preserve">”). </w:t>
      </w:r>
      <w:r w:rsidR="006A2B7A" w:rsidRPr="0013671F">
        <w:rPr>
          <w:rFonts w:cs="Arial"/>
        </w:rPr>
        <w:t>The</w:t>
      </w:r>
      <w:r w:rsidR="00C55D72" w:rsidRPr="0013671F">
        <w:rPr>
          <w:rFonts w:cs="Arial"/>
        </w:rPr>
        <w:t xml:space="preserve"> total feedstock availability</w:t>
      </w:r>
      <w:r w:rsidR="006A2B7A" w:rsidRPr="0013671F">
        <w:rPr>
          <w:rFonts w:cs="Arial"/>
        </w:rPr>
        <w:t>, which excludes the purchased bulking agent,</w:t>
      </w:r>
      <w:r w:rsidR="00C55D72" w:rsidRPr="0013671F">
        <w:rPr>
          <w:rFonts w:cs="Arial"/>
        </w:rPr>
        <w:t xml:space="preserve"> will be calculated based on the</w:t>
      </w:r>
      <w:r w:rsidR="003F6F3E" w:rsidRPr="0013671F">
        <w:rPr>
          <w:rFonts w:cs="Arial"/>
        </w:rPr>
        <w:t xml:space="preserve"> inputted</w:t>
      </w:r>
      <w:r w:rsidR="00C55D72" w:rsidRPr="0013671F">
        <w:rPr>
          <w:rFonts w:cs="Arial"/>
        </w:rPr>
        <w:t xml:space="preserve"> values (cell L20)</w:t>
      </w:r>
      <w:r w:rsidRPr="0013671F">
        <w:rPr>
          <w:rFonts w:cs="Arial"/>
        </w:rPr>
        <w:t>.</w:t>
      </w:r>
    </w:p>
    <w:p w14:paraId="4399299D" w14:textId="0C161A56" w:rsidR="002B331E" w:rsidRPr="0013671F" w:rsidRDefault="002A6D79" w:rsidP="002A6D79">
      <w:pPr>
        <w:rPr>
          <w:rFonts w:cs="Arial"/>
        </w:rPr>
      </w:pPr>
      <w:r w:rsidRPr="0013671F">
        <w:rPr>
          <w:rFonts w:cs="Arial"/>
        </w:rPr>
        <w:t xml:space="preserve">The yellow cells </w:t>
      </w:r>
      <w:r w:rsidR="00206370" w:rsidRPr="0013671F">
        <w:rPr>
          <w:rFonts w:cs="Arial"/>
        </w:rPr>
        <w:t xml:space="preserve">in this table </w:t>
      </w:r>
      <w:r w:rsidR="00AB6F58" w:rsidRPr="0013671F">
        <w:rPr>
          <w:rFonts w:cs="Arial"/>
        </w:rPr>
        <w:t>contain</w:t>
      </w:r>
      <w:r w:rsidRPr="0013671F">
        <w:rPr>
          <w:rFonts w:cs="Arial"/>
        </w:rPr>
        <w:t xml:space="preserve"> </w:t>
      </w:r>
      <w:r w:rsidR="002B331E" w:rsidRPr="0013671F">
        <w:rPr>
          <w:rFonts w:cs="Arial"/>
        </w:rPr>
        <w:t>default feedstock characteristics</w:t>
      </w:r>
      <w:r w:rsidR="00AB6F58" w:rsidRPr="0013671F">
        <w:rPr>
          <w:rFonts w:cs="Arial"/>
        </w:rPr>
        <w:t>, derived</w:t>
      </w:r>
      <w:r w:rsidR="00206370" w:rsidRPr="0013671F">
        <w:rPr>
          <w:rFonts w:cs="Arial"/>
        </w:rPr>
        <w:t xml:space="preserve"> from the literature</w:t>
      </w:r>
      <w:r w:rsidRPr="0013671F">
        <w:rPr>
          <w:rFonts w:cs="Arial"/>
        </w:rPr>
        <w:t xml:space="preserve">. You may </w:t>
      </w:r>
      <w:r w:rsidR="008F604A" w:rsidRPr="0013671F">
        <w:rPr>
          <w:rFonts w:cs="Arial"/>
        </w:rPr>
        <w:t xml:space="preserve">choose to replace these values with </w:t>
      </w:r>
      <w:r w:rsidR="00206370" w:rsidRPr="0013671F">
        <w:rPr>
          <w:rFonts w:cs="Arial"/>
        </w:rPr>
        <w:t>facility</w:t>
      </w:r>
      <w:r w:rsidR="008F604A" w:rsidRPr="0013671F">
        <w:rPr>
          <w:rFonts w:cs="Arial"/>
        </w:rPr>
        <w:t>-</w:t>
      </w:r>
      <w:r w:rsidR="002B331E" w:rsidRPr="0013671F">
        <w:rPr>
          <w:rFonts w:cs="Arial"/>
        </w:rPr>
        <w:t xml:space="preserve">specific data, if available. </w:t>
      </w:r>
    </w:p>
    <w:p w14:paraId="1D32B95C" w14:textId="51B41F3A" w:rsidR="00046EBA" w:rsidRPr="0013671F" w:rsidRDefault="008F604A" w:rsidP="002A6D79">
      <w:pPr>
        <w:rPr>
          <w:rFonts w:cs="Arial"/>
        </w:rPr>
      </w:pPr>
      <w:r w:rsidRPr="0013671F">
        <w:rPr>
          <w:rFonts w:cs="Arial"/>
        </w:rPr>
        <w:t>Based on the values entered for each waste category, the</w:t>
      </w:r>
      <w:r w:rsidR="00046EBA" w:rsidRPr="0013671F">
        <w:rPr>
          <w:rFonts w:cs="Arial"/>
        </w:rPr>
        <w:t xml:space="preserve"> tool will calculate the </w:t>
      </w:r>
      <w:r w:rsidR="00822BF3" w:rsidRPr="0013671F">
        <w:rPr>
          <w:rFonts w:cs="Arial"/>
        </w:rPr>
        <w:t>c</w:t>
      </w:r>
      <w:r w:rsidR="00046EBA" w:rsidRPr="0013671F">
        <w:rPr>
          <w:rFonts w:cs="Arial"/>
        </w:rPr>
        <w:t xml:space="preserve">arbon to </w:t>
      </w:r>
      <w:r w:rsidR="00822BF3" w:rsidRPr="0013671F">
        <w:rPr>
          <w:rFonts w:cs="Arial"/>
        </w:rPr>
        <w:t>n</w:t>
      </w:r>
      <w:r w:rsidR="00046EBA" w:rsidRPr="0013671F">
        <w:rPr>
          <w:rFonts w:cs="Arial"/>
        </w:rPr>
        <w:t xml:space="preserve">itrogen </w:t>
      </w:r>
      <w:r w:rsidR="00896ABD" w:rsidRPr="0013671F">
        <w:rPr>
          <w:rFonts w:cs="Arial"/>
        </w:rPr>
        <w:t xml:space="preserve">(C:N) </w:t>
      </w:r>
      <w:r w:rsidR="00046EBA" w:rsidRPr="0013671F">
        <w:rPr>
          <w:rFonts w:cs="Arial"/>
        </w:rPr>
        <w:t xml:space="preserve">ratio for the waste, as well as the </w:t>
      </w:r>
      <w:r w:rsidRPr="0013671F">
        <w:rPr>
          <w:rFonts w:cs="Arial"/>
        </w:rPr>
        <w:t>moisture percentage</w:t>
      </w:r>
      <w:r w:rsidR="00046EBA" w:rsidRPr="0013671F">
        <w:rPr>
          <w:rFonts w:cs="Arial"/>
        </w:rPr>
        <w:t xml:space="preserve"> and</w:t>
      </w:r>
      <w:r w:rsidRPr="0013671F">
        <w:rPr>
          <w:rFonts w:cs="Arial"/>
        </w:rPr>
        <w:t xml:space="preserve"> the</w:t>
      </w:r>
      <w:r w:rsidR="00046EBA" w:rsidRPr="0013671F">
        <w:rPr>
          <w:rFonts w:cs="Arial"/>
        </w:rPr>
        <w:t xml:space="preserve"> percent of volatile solids.</w:t>
      </w:r>
    </w:p>
    <w:p w14:paraId="6B223317" w14:textId="400B46A7" w:rsidR="002C2BDD" w:rsidRPr="0013671F" w:rsidRDefault="000C6EF8" w:rsidP="000C6EF8">
      <w:pPr>
        <w:pStyle w:val="Heading4"/>
        <w:rPr>
          <w:rFonts w:ascii="Arial Nova Light" w:hAnsi="Arial Nova Light"/>
          <w:color w:val="0A4990"/>
        </w:rPr>
      </w:pPr>
      <w:r w:rsidRPr="0013671F">
        <w:rPr>
          <w:rFonts w:ascii="Arial Nova Light" w:hAnsi="Arial Nova Light"/>
          <w:color w:val="0A4990"/>
        </w:rPr>
        <w:t>Total Incoming Feedback</w:t>
      </w:r>
    </w:p>
    <w:p w14:paraId="2320341C" w14:textId="60BEC73C" w:rsidR="00F33213" w:rsidRPr="0013671F" w:rsidRDefault="00CF2287" w:rsidP="00671437">
      <w:pPr>
        <w:rPr>
          <w:rFonts w:cs="Arial"/>
        </w:rPr>
      </w:pPr>
      <w:r w:rsidRPr="0013671F">
        <w:rPr>
          <w:rFonts w:cs="Arial"/>
        </w:rPr>
        <w:t xml:space="preserve">The feedstock availability value in cell E38 will automatically auto-populate and does not need to be modified. </w:t>
      </w:r>
      <w:r w:rsidR="00F33213" w:rsidRPr="0013671F">
        <w:rPr>
          <w:rFonts w:cs="Arial"/>
        </w:rPr>
        <w:t xml:space="preserve">In cell E39, enter the absolute maximum capacity of waste that the facility can process as a percentage of the feedstock availability. </w:t>
      </w:r>
    </w:p>
    <w:p w14:paraId="4FA2240F" w14:textId="032220A3" w:rsidR="00F33213" w:rsidRPr="0013671F" w:rsidRDefault="000D258F" w:rsidP="00F33213">
      <w:pPr>
        <w:rPr>
          <w:rFonts w:cs="Arial"/>
        </w:rPr>
      </w:pPr>
      <w:r w:rsidRPr="1025164B">
        <w:rPr>
          <w:rFonts w:cs="Arial"/>
        </w:rPr>
        <w:t>The tool provides default minimum throughput requirements. You may choose to replace these assumptions with site-specific data</w:t>
      </w:r>
      <w:r w:rsidR="0057690E" w:rsidRPr="1025164B">
        <w:rPr>
          <w:rFonts w:cs="Arial"/>
        </w:rPr>
        <w:t xml:space="preserve"> but n</w:t>
      </w:r>
      <w:r w:rsidR="00F33213" w:rsidRPr="1025164B">
        <w:rPr>
          <w:rFonts w:cs="Arial"/>
        </w:rPr>
        <w:t xml:space="preserve">ote that the tool requires a minimum waste throughput of 20,000 </w:t>
      </w:r>
      <w:r w:rsidR="005F1349" w:rsidRPr="1025164B">
        <w:rPr>
          <w:rFonts w:cs="Arial"/>
        </w:rPr>
        <w:t>tons per year (TPY)</w:t>
      </w:r>
      <w:r w:rsidR="00F33213" w:rsidRPr="1025164B">
        <w:rPr>
          <w:rFonts w:cs="Arial"/>
        </w:rPr>
        <w:t xml:space="preserve"> for wet anaerobic digestion, 5,000 TPY for dry anaerobic digestion, </w:t>
      </w:r>
      <w:r w:rsidR="001A3669" w:rsidRPr="1025164B">
        <w:rPr>
          <w:rFonts w:cs="Arial"/>
        </w:rPr>
        <w:t>and</w:t>
      </w:r>
      <w:r w:rsidR="00A47277" w:rsidRPr="1025164B">
        <w:rPr>
          <w:rFonts w:cs="Arial"/>
        </w:rPr>
        <w:t xml:space="preserve"> </w:t>
      </w:r>
      <w:r w:rsidR="00F33213" w:rsidRPr="1025164B">
        <w:rPr>
          <w:rFonts w:cs="Arial"/>
        </w:rPr>
        <w:t xml:space="preserve">10,000 TPY for mixed anaerobic digestion. The </w:t>
      </w:r>
      <w:r w:rsidR="001A3669" w:rsidRPr="1025164B">
        <w:rPr>
          <w:rFonts w:cs="Arial"/>
        </w:rPr>
        <w:t xml:space="preserve">throughput </w:t>
      </w:r>
      <w:r w:rsidR="00F33213" w:rsidRPr="1025164B">
        <w:rPr>
          <w:rFonts w:cs="Arial"/>
        </w:rPr>
        <w:t xml:space="preserve">requirements for all wet anaerobic digestion </w:t>
      </w:r>
      <w:r w:rsidR="001A3669" w:rsidRPr="1025164B">
        <w:rPr>
          <w:rFonts w:cs="Arial"/>
        </w:rPr>
        <w:t>projects</w:t>
      </w:r>
      <w:r w:rsidR="00F33213" w:rsidRPr="1025164B">
        <w:rPr>
          <w:rFonts w:cs="Arial"/>
        </w:rPr>
        <w:t xml:space="preserve"> exclude yard waste. Dry anaerobic digestion scenarios require a minimum throughput and include food, manure, and sludge within the feedstock mix. </w:t>
      </w:r>
    </w:p>
    <w:p w14:paraId="656E1CEF" w14:textId="28E9EE78" w:rsidR="000C6EF8" w:rsidRPr="00671437" w:rsidRDefault="008D3BDD" w:rsidP="00990166">
      <w:pPr>
        <w:rPr>
          <w:rFonts w:ascii="Arial" w:hAnsi="Arial" w:cs="Arial"/>
        </w:rPr>
      </w:pPr>
      <w:r w:rsidRPr="0013671F">
        <w:rPr>
          <w:rFonts w:cs="Arial"/>
        </w:rPr>
        <w:t>The</w:t>
      </w:r>
      <w:r w:rsidR="00F33213" w:rsidRPr="0013671F">
        <w:rPr>
          <w:rFonts w:cs="Arial"/>
        </w:rPr>
        <w:t xml:space="preserve"> yellow cells in</w:t>
      </w:r>
      <w:r w:rsidR="00990166" w:rsidRPr="0013671F">
        <w:rPr>
          <w:rFonts w:cs="Arial"/>
        </w:rPr>
        <w:t xml:space="preserve"> the table labeled “Energy &amp; Gas Yields</w:t>
      </w:r>
      <w:r w:rsidR="00F33213" w:rsidRPr="0013671F">
        <w:rPr>
          <w:rFonts w:cs="Arial"/>
        </w:rPr>
        <w:t xml:space="preserve">” can </w:t>
      </w:r>
      <w:r w:rsidR="002359DE" w:rsidRPr="0013671F">
        <w:rPr>
          <w:rFonts w:cs="Arial"/>
        </w:rPr>
        <w:t xml:space="preserve">also be altered using </w:t>
      </w:r>
      <w:r w:rsidR="00F33213" w:rsidRPr="0013671F">
        <w:rPr>
          <w:rFonts w:cs="Arial"/>
        </w:rPr>
        <w:t xml:space="preserve">data specific to the facility. </w:t>
      </w:r>
      <w:r w:rsidR="002359DE" w:rsidRPr="0013671F">
        <w:rPr>
          <w:rFonts w:cs="Arial"/>
        </w:rPr>
        <w:t xml:space="preserve">The gray cells </w:t>
      </w:r>
      <w:r w:rsidR="000D258F" w:rsidRPr="0013671F">
        <w:rPr>
          <w:rFonts w:cs="Arial"/>
        </w:rPr>
        <w:t xml:space="preserve">in this table will </w:t>
      </w:r>
      <w:r w:rsidR="002359DE" w:rsidRPr="0013671F">
        <w:rPr>
          <w:rFonts w:cs="Arial"/>
        </w:rPr>
        <w:t xml:space="preserve">automatically auto-populate and </w:t>
      </w:r>
      <w:r w:rsidR="000D258F" w:rsidRPr="0013671F">
        <w:rPr>
          <w:rFonts w:cs="Arial"/>
        </w:rPr>
        <w:t xml:space="preserve">should not </w:t>
      </w:r>
      <w:r w:rsidR="002359DE" w:rsidRPr="0013671F">
        <w:rPr>
          <w:rFonts w:cs="Arial"/>
        </w:rPr>
        <w:t>be modified.</w:t>
      </w:r>
      <w:r w:rsidR="002359DE">
        <w:rPr>
          <w:rFonts w:ascii="Arial" w:hAnsi="Arial" w:cs="Arial"/>
        </w:rPr>
        <w:t xml:space="preserve"> </w:t>
      </w:r>
    </w:p>
    <w:p w14:paraId="1C87E7D8" w14:textId="307D7696" w:rsidR="00BE2454" w:rsidRPr="00274437" w:rsidRDefault="0013671F" w:rsidP="0013671F">
      <w:pPr>
        <w:pStyle w:val="GMIHeading3"/>
      </w:pPr>
      <w:bookmarkStart w:id="23" w:name="_Toc82090382"/>
      <w:r>
        <w:t xml:space="preserve">2.2.3 </w:t>
      </w:r>
      <w:r w:rsidR="00BE2454" w:rsidRPr="00274437">
        <w:t xml:space="preserve">Economic </w:t>
      </w:r>
      <w:r w:rsidR="00BE2454" w:rsidRPr="001F476F">
        <w:t>Inputs</w:t>
      </w:r>
      <w:bookmarkEnd w:id="23"/>
    </w:p>
    <w:p w14:paraId="677A9B7B" w14:textId="77777777" w:rsidR="00E03F9F" w:rsidRPr="0013671F" w:rsidRDefault="00E03F9F" w:rsidP="00E03F9F">
      <w:pPr>
        <w:rPr>
          <w:rFonts w:cs="Arial"/>
        </w:rPr>
      </w:pPr>
      <w:r w:rsidRPr="0013671F">
        <w:rPr>
          <w:rFonts w:cs="Arial"/>
        </w:rPr>
        <w:t>This tab collects information about the project costs and revenues. Prices should be entered in the current year and in United States Dollars (USD).</w:t>
      </w:r>
    </w:p>
    <w:p w14:paraId="65ABAC6D" w14:textId="77777777" w:rsidR="00E03F9F" w:rsidRPr="0013671F" w:rsidRDefault="00E03F9F" w:rsidP="00E03F9F">
      <w:pPr>
        <w:pStyle w:val="Heading4"/>
        <w:rPr>
          <w:rFonts w:ascii="Arial Nova Light" w:hAnsi="Arial Nova Light"/>
          <w:color w:val="0A4990"/>
        </w:rPr>
      </w:pPr>
      <w:r w:rsidRPr="0013671F">
        <w:rPr>
          <w:rFonts w:ascii="Arial Nova Light" w:hAnsi="Arial Nova Light"/>
          <w:color w:val="0A4990"/>
        </w:rPr>
        <w:t>Project Costs</w:t>
      </w:r>
    </w:p>
    <w:p w14:paraId="5EA56973" w14:textId="73BF083E" w:rsidR="0099465F" w:rsidRPr="0013671F" w:rsidRDefault="0099465F" w:rsidP="00E03F9F">
      <w:pPr>
        <w:rPr>
          <w:rFonts w:cs="Arial"/>
        </w:rPr>
      </w:pPr>
      <w:r w:rsidRPr="0013671F">
        <w:rPr>
          <w:rFonts w:cs="Arial"/>
        </w:rPr>
        <w:t xml:space="preserve">Fill in </w:t>
      </w:r>
      <w:r w:rsidR="0048269E" w:rsidRPr="0013671F">
        <w:rPr>
          <w:rFonts w:cs="Arial"/>
        </w:rPr>
        <w:t>project-specific</w:t>
      </w:r>
      <w:r w:rsidRPr="0013671F">
        <w:rPr>
          <w:rFonts w:cs="Arial"/>
        </w:rPr>
        <w:t xml:space="preserve"> costs for labor, facility operations, energy purchases, land purchases or leases, site development and equipment costs, and end</w:t>
      </w:r>
      <w:r w:rsidR="00FD23C8" w:rsidRPr="0013671F">
        <w:rPr>
          <w:rFonts w:cs="Arial"/>
        </w:rPr>
        <w:t>-</w:t>
      </w:r>
      <w:r w:rsidRPr="0013671F">
        <w:rPr>
          <w:rFonts w:cs="Arial"/>
        </w:rPr>
        <w:t xml:space="preserve">product application and transport costs. </w:t>
      </w:r>
    </w:p>
    <w:p w14:paraId="4C3AEFDA" w14:textId="2778C8A5" w:rsidR="001E55A2" w:rsidRPr="0013671F" w:rsidRDefault="00FA5C2A" w:rsidP="00E03F9F">
      <w:pPr>
        <w:rPr>
          <w:rFonts w:cs="Arial"/>
        </w:rPr>
      </w:pPr>
      <w:r w:rsidRPr="0013671F">
        <w:rPr>
          <w:rFonts w:cs="Arial"/>
        </w:rPr>
        <w:t>For the</w:t>
      </w:r>
      <w:r w:rsidR="001E55A2" w:rsidRPr="0013671F">
        <w:rPr>
          <w:rFonts w:cs="Arial"/>
        </w:rPr>
        <w:t xml:space="preserve"> labor cost per person (cells E18 and E19), enter the</w:t>
      </w:r>
      <w:r w:rsidR="00B56C76" w:rsidRPr="0013671F">
        <w:rPr>
          <w:rFonts w:cs="Arial"/>
        </w:rPr>
        <w:t xml:space="preserve"> </w:t>
      </w:r>
      <w:r w:rsidR="001E55A2" w:rsidRPr="0013671F">
        <w:rPr>
          <w:rFonts w:cs="Arial"/>
        </w:rPr>
        <w:t>cost of employing one</w:t>
      </w:r>
      <w:r w:rsidR="00B56C76" w:rsidRPr="0013671F">
        <w:rPr>
          <w:rFonts w:cs="Arial"/>
        </w:rPr>
        <w:t xml:space="preserve"> manager</w:t>
      </w:r>
      <w:r w:rsidR="001E55A2" w:rsidRPr="0013671F">
        <w:rPr>
          <w:rFonts w:cs="Arial"/>
        </w:rPr>
        <w:t xml:space="preserve"> or </w:t>
      </w:r>
      <w:r w:rsidR="00542998" w:rsidRPr="0013671F">
        <w:rPr>
          <w:rFonts w:cs="Arial"/>
        </w:rPr>
        <w:t xml:space="preserve">one </w:t>
      </w:r>
      <w:r w:rsidR="001E55A2" w:rsidRPr="0013671F">
        <w:rPr>
          <w:rFonts w:cs="Arial"/>
        </w:rPr>
        <w:t>operator</w:t>
      </w:r>
      <w:r w:rsidR="008D242B" w:rsidRPr="0013671F">
        <w:rPr>
          <w:rFonts w:cs="Arial"/>
        </w:rPr>
        <w:t xml:space="preserve"> and number of employees in cells E20 and E21</w:t>
      </w:r>
      <w:r w:rsidR="00B56C76" w:rsidRPr="0013671F">
        <w:rPr>
          <w:rFonts w:cs="Arial"/>
        </w:rPr>
        <w:t>.</w:t>
      </w:r>
      <w:r w:rsidRPr="0013671F">
        <w:rPr>
          <w:rFonts w:cs="Arial"/>
        </w:rPr>
        <w:t xml:space="preserve"> </w:t>
      </w:r>
      <w:r w:rsidR="00542998" w:rsidRPr="0013671F">
        <w:rPr>
          <w:rFonts w:cs="Arial"/>
        </w:rPr>
        <w:t xml:space="preserve">The model will calculate the total labor </w:t>
      </w:r>
      <w:r w:rsidR="00E34B6F" w:rsidRPr="0013671F">
        <w:rPr>
          <w:rFonts w:cs="Arial"/>
        </w:rPr>
        <w:t xml:space="preserve">costs </w:t>
      </w:r>
      <w:r w:rsidR="00542998" w:rsidRPr="0013671F">
        <w:rPr>
          <w:rFonts w:cs="Arial"/>
        </w:rPr>
        <w:t>required in tabs 10 and 11.</w:t>
      </w:r>
      <w:r w:rsidR="003A4DAE" w:rsidRPr="0013671F">
        <w:rPr>
          <w:rFonts w:cs="Arial"/>
        </w:rPr>
        <w:t xml:space="preserve"> The</w:t>
      </w:r>
      <w:r w:rsidR="00542998" w:rsidRPr="0013671F">
        <w:rPr>
          <w:rFonts w:cs="Arial"/>
        </w:rPr>
        <w:t xml:space="preserve"> labor cost</w:t>
      </w:r>
      <w:r w:rsidR="001E55A2" w:rsidRPr="0013671F">
        <w:rPr>
          <w:rFonts w:cs="Arial"/>
        </w:rPr>
        <w:t xml:space="preserve"> should include the base pay </w:t>
      </w:r>
      <w:r w:rsidR="00542998" w:rsidRPr="0013671F">
        <w:rPr>
          <w:rFonts w:cs="Arial"/>
        </w:rPr>
        <w:t xml:space="preserve">and </w:t>
      </w:r>
      <w:r w:rsidR="001E55A2" w:rsidRPr="0013671F">
        <w:rPr>
          <w:rFonts w:cs="Arial"/>
        </w:rPr>
        <w:t>any benefits provided.</w:t>
      </w:r>
    </w:p>
    <w:p w14:paraId="0602BD46" w14:textId="5AC45D84" w:rsidR="00E03F9F" w:rsidRPr="0013671F" w:rsidRDefault="00BA0D25" w:rsidP="00E03F9F">
      <w:pPr>
        <w:rPr>
          <w:rFonts w:cs="Arial"/>
        </w:rPr>
      </w:pPr>
      <w:r w:rsidRPr="0013671F">
        <w:rPr>
          <w:rFonts w:cs="Arial"/>
        </w:rPr>
        <w:lastRenderedPageBreak/>
        <w:t xml:space="preserve">In the section of the table labeled “Facility Operations,” you only need to </w:t>
      </w:r>
      <w:r w:rsidR="00FA5C2A" w:rsidRPr="0013671F">
        <w:rPr>
          <w:rFonts w:cs="Arial"/>
        </w:rPr>
        <w:t>fill in the</w:t>
      </w:r>
      <w:r w:rsidR="001E55A2" w:rsidRPr="0013671F">
        <w:rPr>
          <w:rFonts w:cs="Arial"/>
        </w:rPr>
        <w:t xml:space="preserve"> “Process Water Purchase Price” </w:t>
      </w:r>
      <w:r w:rsidR="00FA5C2A" w:rsidRPr="0013671F">
        <w:rPr>
          <w:rFonts w:cs="Arial"/>
        </w:rPr>
        <w:t>field in cell E23 if you plan to pursue a wet anaerobic digestion project. Similarly, the “Wastewater Treatment Cost” field in cell E24 is only required for wet anaerobic digestion projects that will not treat wastewater on</w:t>
      </w:r>
      <w:r w:rsidR="008B009E" w:rsidRPr="0013671F">
        <w:rPr>
          <w:rFonts w:cs="Arial"/>
        </w:rPr>
        <w:t xml:space="preserve"> </w:t>
      </w:r>
      <w:r w:rsidR="00FA5C2A" w:rsidRPr="0013671F">
        <w:rPr>
          <w:rFonts w:cs="Arial"/>
        </w:rPr>
        <w:t xml:space="preserve">site. </w:t>
      </w:r>
    </w:p>
    <w:p w14:paraId="3223DA95" w14:textId="77777777" w:rsidR="00E03F9F" w:rsidRPr="0013671F" w:rsidRDefault="00E03F9F" w:rsidP="00E03F9F">
      <w:pPr>
        <w:pStyle w:val="Heading4"/>
        <w:rPr>
          <w:rFonts w:ascii="Arial Nova Light" w:hAnsi="Arial Nova Light"/>
          <w:color w:val="0A4990"/>
        </w:rPr>
      </w:pPr>
      <w:r w:rsidRPr="0013671F">
        <w:rPr>
          <w:rFonts w:ascii="Arial Nova Light" w:hAnsi="Arial Nova Light"/>
          <w:color w:val="0A4990"/>
        </w:rPr>
        <w:t>Project Revenues</w:t>
      </w:r>
    </w:p>
    <w:p w14:paraId="4C99BB8A" w14:textId="5E8A3462" w:rsidR="002C2BDD" w:rsidRPr="0013671F" w:rsidRDefault="0048269E" w:rsidP="00E03F9F">
      <w:pPr>
        <w:rPr>
          <w:rFonts w:cs="Arial"/>
        </w:rPr>
      </w:pPr>
      <w:r w:rsidRPr="0013671F">
        <w:rPr>
          <w:rFonts w:cs="Arial"/>
        </w:rPr>
        <w:t>Fill in</w:t>
      </w:r>
      <w:r w:rsidR="003A4DAE" w:rsidRPr="0013671F">
        <w:rPr>
          <w:rFonts w:cs="Arial"/>
        </w:rPr>
        <w:t xml:space="preserve"> the</w:t>
      </w:r>
      <w:r w:rsidRPr="0013671F">
        <w:rPr>
          <w:rFonts w:cs="Arial"/>
        </w:rPr>
        <w:t xml:space="preserve"> revenues that </w:t>
      </w:r>
      <w:r w:rsidR="00A56507" w:rsidRPr="0013671F">
        <w:rPr>
          <w:rFonts w:cs="Arial"/>
        </w:rPr>
        <w:t>result</w:t>
      </w:r>
      <w:r w:rsidRPr="0013671F">
        <w:rPr>
          <w:rFonts w:cs="Arial"/>
        </w:rPr>
        <w:t xml:space="preserve"> from</w:t>
      </w:r>
      <w:r w:rsidR="003A4DAE" w:rsidRPr="0013671F">
        <w:rPr>
          <w:rFonts w:cs="Arial"/>
        </w:rPr>
        <w:t xml:space="preserve"> your</w:t>
      </w:r>
      <w:r w:rsidRPr="0013671F">
        <w:rPr>
          <w:rFonts w:cs="Arial"/>
        </w:rPr>
        <w:t xml:space="preserve"> facility operations and sellable end products</w:t>
      </w:r>
      <w:r w:rsidR="003A4DAE" w:rsidRPr="0013671F">
        <w:rPr>
          <w:rFonts w:cs="Arial"/>
        </w:rPr>
        <w:t xml:space="preserve">, </w:t>
      </w:r>
      <w:r w:rsidRPr="0013671F">
        <w:rPr>
          <w:rFonts w:cs="Arial"/>
        </w:rPr>
        <w:t xml:space="preserve">site-specific </w:t>
      </w:r>
      <w:r w:rsidR="003A4DAE" w:rsidRPr="0013671F">
        <w:rPr>
          <w:rFonts w:cs="Arial"/>
        </w:rPr>
        <w:t>values</w:t>
      </w:r>
      <w:r w:rsidRPr="0013671F">
        <w:rPr>
          <w:rFonts w:cs="Arial"/>
        </w:rPr>
        <w:t xml:space="preserve"> </w:t>
      </w:r>
      <w:r w:rsidR="003A4DAE" w:rsidRPr="0013671F">
        <w:rPr>
          <w:rFonts w:cs="Arial"/>
        </w:rPr>
        <w:t>for</w:t>
      </w:r>
      <w:r w:rsidRPr="0013671F">
        <w:rPr>
          <w:rFonts w:cs="Arial"/>
        </w:rPr>
        <w:t xml:space="preserve"> inflation and taxes</w:t>
      </w:r>
      <w:r w:rsidR="003A4DAE" w:rsidRPr="0013671F">
        <w:rPr>
          <w:rFonts w:cs="Arial"/>
        </w:rPr>
        <w:t xml:space="preserve">, </w:t>
      </w:r>
      <w:r w:rsidRPr="0013671F">
        <w:rPr>
          <w:rFonts w:cs="Arial"/>
        </w:rPr>
        <w:t>and</w:t>
      </w:r>
      <w:r w:rsidR="003A4DAE" w:rsidRPr="0013671F">
        <w:rPr>
          <w:rFonts w:cs="Arial"/>
        </w:rPr>
        <w:t xml:space="preserve"> information about your</w:t>
      </w:r>
      <w:r w:rsidRPr="0013671F">
        <w:rPr>
          <w:rFonts w:cs="Arial"/>
        </w:rPr>
        <w:t xml:space="preserve"> project</w:t>
      </w:r>
      <w:r w:rsidR="003A4DAE" w:rsidRPr="0013671F">
        <w:rPr>
          <w:rFonts w:cs="Arial"/>
        </w:rPr>
        <w:t>’s</w:t>
      </w:r>
      <w:r w:rsidRPr="0013671F">
        <w:rPr>
          <w:rFonts w:cs="Arial"/>
        </w:rPr>
        <w:t xml:space="preserve"> financing.</w:t>
      </w:r>
    </w:p>
    <w:p w14:paraId="33EAD752" w14:textId="298F352C" w:rsidR="00062FE5" w:rsidRPr="0013671F" w:rsidRDefault="009758B6" w:rsidP="0078240D">
      <w:pPr>
        <w:rPr>
          <w:rFonts w:cs="Arial"/>
        </w:rPr>
      </w:pPr>
      <w:r w:rsidRPr="0013671F">
        <w:rPr>
          <w:rFonts w:cs="Arial"/>
        </w:rPr>
        <w:t>In</w:t>
      </w:r>
      <w:r w:rsidR="009012BB" w:rsidRPr="0013671F">
        <w:rPr>
          <w:rFonts w:cs="Arial"/>
        </w:rPr>
        <w:t xml:space="preserve"> the Facility Operations section of the table, the </w:t>
      </w:r>
      <w:r w:rsidR="00BC122B" w:rsidRPr="0013671F">
        <w:rPr>
          <w:rFonts w:cs="Arial"/>
        </w:rPr>
        <w:t>gate fees</w:t>
      </w:r>
      <w:r w:rsidR="009012BB" w:rsidRPr="0013671F">
        <w:rPr>
          <w:rFonts w:cs="Arial"/>
        </w:rPr>
        <w:t xml:space="preserve"> represent the per ton</w:t>
      </w:r>
      <w:r w:rsidR="003D797E" w:rsidRPr="0013671F">
        <w:rPr>
          <w:rFonts w:cs="Arial"/>
        </w:rPr>
        <w:t>ne</w:t>
      </w:r>
      <w:r w:rsidR="009012BB" w:rsidRPr="0013671F">
        <w:rPr>
          <w:rFonts w:cs="Arial"/>
        </w:rPr>
        <w:t xml:space="preserve"> fee that your facility will charge for each component of the organic waste stream.</w:t>
      </w:r>
      <w:r w:rsidRPr="0013671F">
        <w:rPr>
          <w:rFonts w:cs="Arial"/>
        </w:rPr>
        <w:t xml:space="preserve"> The “Avoided Landfill Disposal Fee” in cell K23</w:t>
      </w:r>
      <w:r w:rsidR="00AE6DA6" w:rsidRPr="0013671F">
        <w:rPr>
          <w:rFonts w:cs="Arial"/>
        </w:rPr>
        <w:t xml:space="preserve"> should only be filled in if you would like to include the savings from avoided landfill disposal in your business plan. </w:t>
      </w:r>
      <w:r w:rsidR="00513FE8" w:rsidRPr="0013671F">
        <w:rPr>
          <w:rFonts w:cs="Arial"/>
        </w:rPr>
        <w:t xml:space="preserve">To </w:t>
      </w:r>
      <w:r w:rsidR="00AE6DA6" w:rsidRPr="0013671F">
        <w:rPr>
          <w:rFonts w:cs="Arial"/>
        </w:rPr>
        <w:t>compare the costs of technologies, leave this value as 0</w:t>
      </w:r>
      <w:r w:rsidR="0078240D" w:rsidRPr="0013671F">
        <w:rPr>
          <w:rFonts w:cs="Arial"/>
        </w:rPr>
        <w:t xml:space="preserve">. </w:t>
      </w:r>
    </w:p>
    <w:p w14:paraId="70FD6548" w14:textId="44B020E5" w:rsidR="009758B6" w:rsidRPr="0013671F" w:rsidRDefault="009758B6" w:rsidP="0078240D">
      <w:pPr>
        <w:rPr>
          <w:rFonts w:cs="Arial"/>
        </w:rPr>
      </w:pPr>
      <w:r w:rsidRPr="0013671F">
        <w:rPr>
          <w:rFonts w:cs="Arial"/>
        </w:rPr>
        <w:t xml:space="preserve">For the “Transportation Fee” in cell K25, </w:t>
      </w:r>
      <w:r w:rsidR="00DD4573" w:rsidRPr="0013671F">
        <w:rPr>
          <w:rFonts w:cs="Arial"/>
        </w:rPr>
        <w:t>input</w:t>
      </w:r>
      <w:r w:rsidRPr="0013671F">
        <w:rPr>
          <w:rFonts w:cs="Arial"/>
        </w:rPr>
        <w:t xml:space="preserve"> the cost of transporting one ton of waste one kilometer. The</w:t>
      </w:r>
      <w:r w:rsidR="00DD4573" w:rsidRPr="0013671F">
        <w:rPr>
          <w:rFonts w:cs="Arial"/>
        </w:rPr>
        <w:t xml:space="preserve"> transportation</w:t>
      </w:r>
      <w:r w:rsidRPr="0013671F">
        <w:rPr>
          <w:rFonts w:cs="Arial"/>
        </w:rPr>
        <w:t xml:space="preserve"> fee should take into consideration the cost of fuel, the fuel efficiency of the collection vehicle, and the collection vehicles capacity in tons. </w:t>
      </w:r>
    </w:p>
    <w:p w14:paraId="39D07872" w14:textId="69FE9096" w:rsidR="00870A81" w:rsidRPr="0013671F" w:rsidRDefault="00FA7907" w:rsidP="0078240D">
      <w:pPr>
        <w:rPr>
          <w:rFonts w:cs="Arial"/>
        </w:rPr>
      </w:pPr>
      <w:r w:rsidRPr="0013671F">
        <w:rPr>
          <w:rFonts w:cs="Arial"/>
        </w:rPr>
        <w:t>In</w:t>
      </w:r>
      <w:r w:rsidR="00DD4573" w:rsidRPr="0013671F">
        <w:rPr>
          <w:rFonts w:cs="Arial"/>
        </w:rPr>
        <w:t xml:space="preserve"> the “Construction Cost Factor” and “Equipment </w:t>
      </w:r>
      <w:r w:rsidRPr="0013671F">
        <w:rPr>
          <w:rFonts w:cs="Arial"/>
        </w:rPr>
        <w:t>Cost Factor” fields</w:t>
      </w:r>
      <w:r w:rsidR="00DD4573" w:rsidRPr="0013671F">
        <w:rPr>
          <w:rFonts w:cs="Arial"/>
        </w:rPr>
        <w:t xml:space="preserve"> (cells K39 and K40), enter 1 if the equipment costs are equal to those in the </w:t>
      </w:r>
      <w:r w:rsidR="00822BF3" w:rsidRPr="0013671F">
        <w:rPr>
          <w:rFonts w:cs="Arial"/>
        </w:rPr>
        <w:t>United States</w:t>
      </w:r>
      <w:r w:rsidR="00DD4573" w:rsidRPr="0013671F">
        <w:rPr>
          <w:rFonts w:cs="Arial"/>
        </w:rPr>
        <w:t xml:space="preserve"> and Europe.</w:t>
      </w:r>
      <w:r w:rsidR="00BC122B" w:rsidRPr="0013671F">
        <w:rPr>
          <w:rFonts w:cs="Arial"/>
        </w:rPr>
        <w:t xml:space="preserve"> </w:t>
      </w:r>
      <w:r w:rsidR="00C56EAE" w:rsidRPr="0013671F">
        <w:rPr>
          <w:rFonts w:cs="Arial"/>
        </w:rPr>
        <w:t xml:space="preserve">For example, if the equipment costs are 25 percent of those in the </w:t>
      </w:r>
      <w:r w:rsidR="00822BF3" w:rsidRPr="0013671F">
        <w:rPr>
          <w:rFonts w:cs="Arial"/>
        </w:rPr>
        <w:t>United States</w:t>
      </w:r>
      <w:r w:rsidR="00C56EAE" w:rsidRPr="0013671F">
        <w:rPr>
          <w:rFonts w:cs="Arial"/>
        </w:rPr>
        <w:t xml:space="preserve"> and Europe, enter 0.25. </w:t>
      </w:r>
      <w:r w:rsidR="00BC122B" w:rsidRPr="0013671F">
        <w:rPr>
          <w:rFonts w:cs="Arial"/>
        </w:rPr>
        <w:t>The “Inflation Rate – General” in cell K41 applies to labor, water, maintenance, land application, and lease cost. The “Inflation Rate – Disposal Fee, Gate Fee” in cell K42 applies to the avoided landfill disposal cost and facility processing fee.</w:t>
      </w:r>
    </w:p>
    <w:p w14:paraId="1B5937DB" w14:textId="49773A3C" w:rsidR="00DB7843" w:rsidRPr="0013671F" w:rsidRDefault="006822B1" w:rsidP="0078240D">
      <w:pPr>
        <w:rPr>
          <w:rFonts w:cs="Arial"/>
        </w:rPr>
      </w:pPr>
      <w:r w:rsidRPr="0013671F">
        <w:rPr>
          <w:rFonts w:cs="Arial"/>
        </w:rPr>
        <w:t xml:space="preserve">The model automatically estimates the Equity IRR. If you would like to estimate the Project IRR, please set the “Percent Equity” in cell K55 to 100 percent and the “Percent Debt” in cell K54 equal to 0 percent. </w:t>
      </w:r>
    </w:p>
    <w:p w14:paraId="316D40DC" w14:textId="2F7AB0A7" w:rsidR="00CB214F" w:rsidRPr="0013671F" w:rsidRDefault="00CB214F" w:rsidP="0078240D">
      <w:pPr>
        <w:rPr>
          <w:rFonts w:cs="Arial"/>
        </w:rPr>
      </w:pPr>
      <w:r w:rsidRPr="0013671F">
        <w:rPr>
          <w:rFonts w:cs="Arial"/>
        </w:rPr>
        <w:t>For the dropdown menu in cell K64, choose “Yes” or “No” depending on whether your project will use debt/equity to finance the purchase of new equipment. If you select “Yes,” equipment is financed under the same debt/equity, tenor, and interest rate assumptions as the original short-term debt. Select “No” if equipment is purchased outright with available free cash flow.</w:t>
      </w:r>
    </w:p>
    <w:p w14:paraId="598FA336" w14:textId="32CD6F2A" w:rsidR="00643D98" w:rsidRPr="00274437" w:rsidRDefault="0013671F" w:rsidP="0013671F">
      <w:pPr>
        <w:pStyle w:val="GMIHeading2"/>
      </w:pPr>
      <w:bookmarkStart w:id="24" w:name="_Toc82090383"/>
      <w:r>
        <w:t xml:space="preserve">2.3 </w:t>
      </w:r>
      <w:r w:rsidR="00643D98" w:rsidRPr="00274437">
        <w:t>Default Values (Yellow Tab)</w:t>
      </w:r>
      <w:bookmarkEnd w:id="24"/>
    </w:p>
    <w:p w14:paraId="07F6FE2C" w14:textId="37BD670D" w:rsidR="00643D98" w:rsidRPr="0013671F" w:rsidRDefault="002C2BDD" w:rsidP="00643D98">
      <w:pPr>
        <w:rPr>
          <w:rFonts w:cs="Arial"/>
        </w:rPr>
      </w:pPr>
      <w:r w:rsidRPr="0013671F">
        <w:rPr>
          <w:rFonts w:cs="Arial"/>
        </w:rPr>
        <w:t>The Default Values tab displays the data used for all the calculations in the OrganEcs tool. It also notes the sources for each data point.</w:t>
      </w:r>
      <w:r w:rsidR="00513FE8" w:rsidRPr="0013671F">
        <w:rPr>
          <w:rFonts w:cs="Arial"/>
        </w:rPr>
        <w:t xml:space="preserve"> You may either use the default data or enter </w:t>
      </w:r>
      <w:r w:rsidR="0081084E" w:rsidRPr="0013671F">
        <w:rPr>
          <w:rFonts w:cs="Arial"/>
        </w:rPr>
        <w:t>data from locally operating facilities or vendor proposals</w:t>
      </w:r>
      <w:r w:rsidR="00513FE8" w:rsidRPr="0013671F">
        <w:rPr>
          <w:rFonts w:cs="Arial"/>
        </w:rPr>
        <w:t xml:space="preserve"> in the yellow tabs.</w:t>
      </w:r>
      <w:r w:rsidR="00062FE5" w:rsidRPr="0013671F">
        <w:t xml:space="preserve"> </w:t>
      </w:r>
      <w:r w:rsidR="00062FE5" w:rsidRPr="0013671F">
        <w:rPr>
          <w:rFonts w:cs="Arial"/>
        </w:rPr>
        <w:t>If you enter your own data but wish to return to the default values, click the “Reset Default Values” button to the right of the table.</w:t>
      </w:r>
    </w:p>
    <w:p w14:paraId="7544B634" w14:textId="1BA3DBB3" w:rsidR="00BF2B86" w:rsidRPr="0013671F" w:rsidRDefault="003B2449" w:rsidP="003F7EC8">
      <w:pPr>
        <w:rPr>
          <w:rFonts w:cs="Arial"/>
        </w:rPr>
      </w:pPr>
      <w:r w:rsidRPr="0013671F">
        <w:rPr>
          <w:rFonts w:cs="Arial"/>
        </w:rPr>
        <w:t>The</w:t>
      </w:r>
      <w:r w:rsidR="00513FE8" w:rsidRPr="0013671F">
        <w:rPr>
          <w:rFonts w:cs="Arial"/>
        </w:rPr>
        <w:t xml:space="preserve"> Facility Operations section</w:t>
      </w:r>
      <w:r w:rsidRPr="0013671F">
        <w:rPr>
          <w:rFonts w:cs="Arial"/>
        </w:rPr>
        <w:t xml:space="preserve"> of the table includes information on the number of operating days per year, the land requirement, and electricity and fuel demand for a proposed facility. It also includes </w:t>
      </w:r>
      <w:r w:rsidR="003F7EC8" w:rsidRPr="0013671F">
        <w:rPr>
          <w:rFonts w:cs="Arial"/>
        </w:rPr>
        <w:t xml:space="preserve">specific information about the anaerobic digestion process, including primary and final screening residues </w:t>
      </w:r>
      <w:r w:rsidR="0048691A" w:rsidRPr="0013671F">
        <w:rPr>
          <w:rFonts w:cs="Arial"/>
        </w:rPr>
        <w:t xml:space="preserve">as a percentage of incoming feedstock </w:t>
      </w:r>
      <w:r w:rsidR="003F7EC8" w:rsidRPr="0013671F">
        <w:rPr>
          <w:rFonts w:cs="Arial"/>
        </w:rPr>
        <w:t xml:space="preserve">and requirements for processing water and treating wastewater. </w:t>
      </w:r>
      <w:r w:rsidR="00BF2B86" w:rsidRPr="0013671F">
        <w:rPr>
          <w:rFonts w:cs="Arial"/>
        </w:rPr>
        <w:t xml:space="preserve">For wet anaerobic digestion, there </w:t>
      </w:r>
      <w:r w:rsidR="00A56507" w:rsidRPr="0013671F">
        <w:rPr>
          <w:rFonts w:cs="Arial"/>
        </w:rPr>
        <w:t xml:space="preserve">are rows breaking down the </w:t>
      </w:r>
      <w:r w:rsidR="003F7EC8" w:rsidRPr="0013671F">
        <w:rPr>
          <w:rFonts w:cs="Arial"/>
        </w:rPr>
        <w:t>composition of the digestate produced.</w:t>
      </w:r>
      <w:r w:rsidR="00BF2B86" w:rsidRPr="0013671F">
        <w:rPr>
          <w:rFonts w:cs="Arial"/>
        </w:rPr>
        <w:t xml:space="preserve"> </w:t>
      </w:r>
    </w:p>
    <w:p w14:paraId="78301294" w14:textId="27DFD693" w:rsidR="00A56507" w:rsidRPr="0013671F" w:rsidRDefault="00A56507" w:rsidP="003F7EC8">
      <w:pPr>
        <w:rPr>
          <w:rFonts w:cs="Arial"/>
        </w:rPr>
      </w:pPr>
      <w:r w:rsidRPr="0013671F">
        <w:rPr>
          <w:rFonts w:cs="Arial"/>
        </w:rPr>
        <w:lastRenderedPageBreak/>
        <w:t xml:space="preserve">Under the Digestion System Capex section, the only value that can be altered is the “Capital Cost Contingency” in row 36. </w:t>
      </w:r>
    </w:p>
    <w:p w14:paraId="2AE781FF" w14:textId="4F760E54" w:rsidR="00513FE8" w:rsidRPr="0013671F" w:rsidRDefault="00513FE8" w:rsidP="00643D98">
      <w:pPr>
        <w:rPr>
          <w:rFonts w:cs="Arial"/>
        </w:rPr>
      </w:pPr>
      <w:r w:rsidRPr="0013671F">
        <w:rPr>
          <w:rFonts w:cs="Arial"/>
        </w:rPr>
        <w:t xml:space="preserve">The All Systems O&amp;M section of the table contains </w:t>
      </w:r>
      <w:r w:rsidR="008F3116" w:rsidRPr="0013671F">
        <w:rPr>
          <w:rFonts w:cs="Arial"/>
        </w:rPr>
        <w:t xml:space="preserve">specific </w:t>
      </w:r>
      <w:r w:rsidRPr="0013671F">
        <w:rPr>
          <w:rFonts w:cs="Arial"/>
        </w:rPr>
        <w:t xml:space="preserve">information about the </w:t>
      </w:r>
      <w:r w:rsidR="00034C00" w:rsidRPr="0013671F">
        <w:rPr>
          <w:rFonts w:cs="Arial"/>
        </w:rPr>
        <w:t>operation and maintenance costs</w:t>
      </w:r>
      <w:r w:rsidR="001C2562" w:rsidRPr="0013671F">
        <w:rPr>
          <w:rFonts w:cs="Arial"/>
        </w:rPr>
        <w:t xml:space="preserve">. The maintenance and insurance costs </w:t>
      </w:r>
      <w:r w:rsidR="0062029E" w:rsidRPr="0013671F">
        <w:rPr>
          <w:rFonts w:cs="Arial"/>
        </w:rPr>
        <w:t>are</w:t>
      </w:r>
      <w:r w:rsidR="001C2562" w:rsidRPr="0013671F">
        <w:rPr>
          <w:rFonts w:cs="Arial"/>
        </w:rPr>
        <w:t xml:space="preserve"> </w:t>
      </w:r>
      <w:r w:rsidR="008F3116" w:rsidRPr="0013671F">
        <w:rPr>
          <w:rFonts w:cs="Arial"/>
        </w:rPr>
        <w:t xml:space="preserve">represented as </w:t>
      </w:r>
      <w:r w:rsidR="001C2562" w:rsidRPr="0013671F">
        <w:rPr>
          <w:rFonts w:cs="Arial"/>
        </w:rPr>
        <w:t>percentages of the total capital expenditure.</w:t>
      </w:r>
      <w:r w:rsidR="0062029E" w:rsidRPr="0013671F">
        <w:rPr>
          <w:rFonts w:cs="Arial"/>
        </w:rPr>
        <w:t xml:space="preserve"> There is a row for outside services o</w:t>
      </w:r>
      <w:r w:rsidR="00F74D72" w:rsidRPr="0013671F">
        <w:rPr>
          <w:rFonts w:cs="Arial"/>
        </w:rPr>
        <w:t>r</w:t>
      </w:r>
      <w:r w:rsidR="0062029E" w:rsidRPr="0013671F">
        <w:rPr>
          <w:rFonts w:cs="Arial"/>
        </w:rPr>
        <w:t xml:space="preserve"> supplies and for cost contingency, which are represented as percentages of the operation and maintenance cost.</w:t>
      </w:r>
    </w:p>
    <w:p w14:paraId="2E970DDC" w14:textId="3B539FCA" w:rsidR="00643D98" w:rsidRPr="00274437" w:rsidRDefault="0013671F" w:rsidP="0013671F">
      <w:pPr>
        <w:pStyle w:val="GMIHeading2"/>
      </w:pPr>
      <w:bookmarkStart w:id="25" w:name="_Toc82090384"/>
      <w:r>
        <w:t xml:space="preserve">2.4 </w:t>
      </w:r>
      <w:r w:rsidR="00643D98" w:rsidRPr="00274437">
        <w:t>Outputs (Black Tab)</w:t>
      </w:r>
      <w:bookmarkEnd w:id="25"/>
    </w:p>
    <w:p w14:paraId="4B07208A" w14:textId="6BE54288" w:rsidR="00CC0F2E" w:rsidRPr="0013671F" w:rsidRDefault="00643D98" w:rsidP="00CC0F2E">
      <w:pPr>
        <w:rPr>
          <w:rFonts w:cs="Arial"/>
        </w:rPr>
      </w:pPr>
      <w:r w:rsidRPr="0013671F">
        <w:rPr>
          <w:rFonts w:cs="Arial"/>
        </w:rPr>
        <w:t>This tab</w:t>
      </w:r>
      <w:r w:rsidR="00557997" w:rsidRPr="0013671F">
        <w:rPr>
          <w:rFonts w:cs="Arial"/>
        </w:rPr>
        <w:t xml:space="preserve"> </w:t>
      </w:r>
      <w:r w:rsidR="007C5E38" w:rsidRPr="0013671F">
        <w:rPr>
          <w:rFonts w:cs="Arial"/>
        </w:rPr>
        <w:t>presents</w:t>
      </w:r>
      <w:r w:rsidR="00557997" w:rsidRPr="0013671F">
        <w:rPr>
          <w:rFonts w:cs="Arial"/>
        </w:rPr>
        <w:t xml:space="preserve"> basic information about </w:t>
      </w:r>
      <w:r w:rsidR="00D62E4D" w:rsidRPr="0013671F">
        <w:rPr>
          <w:rFonts w:cs="Arial"/>
        </w:rPr>
        <w:t xml:space="preserve">your </w:t>
      </w:r>
      <w:r w:rsidR="00557997" w:rsidRPr="0013671F">
        <w:rPr>
          <w:rFonts w:cs="Arial"/>
        </w:rPr>
        <w:t>project</w:t>
      </w:r>
      <w:r w:rsidR="00FA3D31" w:rsidRPr="0013671F">
        <w:rPr>
          <w:rFonts w:cs="Arial"/>
        </w:rPr>
        <w:t xml:space="preserve"> </w:t>
      </w:r>
      <w:r w:rsidR="00557997" w:rsidRPr="0013671F">
        <w:rPr>
          <w:rFonts w:cs="Arial"/>
        </w:rPr>
        <w:t xml:space="preserve">based on </w:t>
      </w:r>
      <w:r w:rsidR="0078665B" w:rsidRPr="0013671F">
        <w:rPr>
          <w:rFonts w:cs="Arial"/>
        </w:rPr>
        <w:t>the values inputted</w:t>
      </w:r>
      <w:r w:rsidR="00557997" w:rsidRPr="0013671F">
        <w:rPr>
          <w:rFonts w:cs="Arial"/>
        </w:rPr>
        <w:t xml:space="preserve"> </w:t>
      </w:r>
      <w:r w:rsidR="0078665B" w:rsidRPr="0013671F">
        <w:rPr>
          <w:rFonts w:cs="Arial"/>
        </w:rPr>
        <w:t>in earlier tabs</w:t>
      </w:r>
      <w:r w:rsidR="00FA3D31" w:rsidRPr="0013671F">
        <w:rPr>
          <w:rFonts w:cs="Arial"/>
        </w:rPr>
        <w:t xml:space="preserve">. </w:t>
      </w:r>
    </w:p>
    <w:p w14:paraId="562528C1" w14:textId="7BDC80A4" w:rsidR="00CC0F2E" w:rsidRPr="0013671F" w:rsidRDefault="00B66B5D" w:rsidP="00CC0F2E">
      <w:pPr>
        <w:rPr>
          <w:rFonts w:cs="Arial"/>
        </w:rPr>
      </w:pPr>
      <w:r w:rsidRPr="0013671F">
        <w:rPr>
          <w:rFonts w:cs="Arial"/>
        </w:rPr>
        <w:t>The</w:t>
      </w:r>
      <w:r w:rsidR="001779B5" w:rsidRPr="0013671F">
        <w:rPr>
          <w:rFonts w:cs="Arial"/>
        </w:rPr>
        <w:t xml:space="preserve"> table on the left</w:t>
      </w:r>
      <w:r w:rsidRPr="0013671F">
        <w:rPr>
          <w:rFonts w:cs="Arial"/>
        </w:rPr>
        <w:t xml:space="preserve"> </w:t>
      </w:r>
      <w:r w:rsidR="00C9305B" w:rsidRPr="0013671F">
        <w:rPr>
          <w:rFonts w:cs="Arial"/>
        </w:rPr>
        <w:t>calculates</w:t>
      </w:r>
      <w:r w:rsidR="007C5E38" w:rsidRPr="0013671F">
        <w:rPr>
          <w:rFonts w:cs="Arial"/>
        </w:rPr>
        <w:t xml:space="preserve"> </w:t>
      </w:r>
      <w:r w:rsidR="00116C94" w:rsidRPr="0013671F">
        <w:rPr>
          <w:rFonts w:cs="Arial"/>
        </w:rPr>
        <w:t>outputs</w:t>
      </w:r>
      <w:r w:rsidR="00C9305B" w:rsidRPr="0013671F">
        <w:rPr>
          <w:rFonts w:cs="Arial"/>
        </w:rPr>
        <w:t xml:space="preserve"> </w:t>
      </w:r>
      <w:r w:rsidR="00D62E4D" w:rsidRPr="0013671F">
        <w:rPr>
          <w:rFonts w:cs="Arial"/>
        </w:rPr>
        <w:t>from</w:t>
      </w:r>
      <w:r w:rsidR="00C9305B" w:rsidRPr="0013671F">
        <w:rPr>
          <w:rFonts w:cs="Arial"/>
        </w:rPr>
        <w:t xml:space="preserve"> </w:t>
      </w:r>
      <w:r w:rsidR="00D62E4D" w:rsidRPr="0013671F">
        <w:rPr>
          <w:rFonts w:cs="Arial"/>
        </w:rPr>
        <w:t xml:space="preserve">the first year of operations for </w:t>
      </w:r>
      <w:r w:rsidR="00706112" w:rsidRPr="0013671F">
        <w:rPr>
          <w:rFonts w:cs="Arial"/>
        </w:rPr>
        <w:t>wet anaerobic digestion</w:t>
      </w:r>
      <w:r w:rsidR="00C9305B" w:rsidRPr="0013671F">
        <w:rPr>
          <w:rFonts w:cs="Arial"/>
        </w:rPr>
        <w:t xml:space="preserve"> project</w:t>
      </w:r>
      <w:r w:rsidR="003175D7" w:rsidRPr="0013671F">
        <w:rPr>
          <w:rFonts w:cs="Arial"/>
        </w:rPr>
        <w:t>s</w:t>
      </w:r>
      <w:r w:rsidR="0019306B" w:rsidRPr="0013671F">
        <w:rPr>
          <w:rFonts w:cs="Arial"/>
        </w:rPr>
        <w:t xml:space="preserve">. </w:t>
      </w:r>
      <w:r w:rsidR="00D62E4D" w:rsidRPr="0013671F">
        <w:rPr>
          <w:rFonts w:cs="Arial"/>
        </w:rPr>
        <w:t>The table on the right calculates outputs from the first year of operations fo</w:t>
      </w:r>
      <w:r w:rsidR="003175D7" w:rsidRPr="0013671F">
        <w:rPr>
          <w:rFonts w:cs="Arial"/>
        </w:rPr>
        <w:t xml:space="preserve">r </w:t>
      </w:r>
      <w:r w:rsidR="00D62E4D" w:rsidRPr="0013671F">
        <w:rPr>
          <w:rFonts w:cs="Arial"/>
        </w:rPr>
        <w:t>dry anaerobic digestion project</w:t>
      </w:r>
      <w:r w:rsidR="003175D7" w:rsidRPr="0013671F">
        <w:rPr>
          <w:rFonts w:cs="Arial"/>
        </w:rPr>
        <w:t>s</w:t>
      </w:r>
      <w:r w:rsidR="00D62E4D" w:rsidRPr="0013671F">
        <w:rPr>
          <w:rFonts w:cs="Arial"/>
        </w:rPr>
        <w:t xml:space="preserve">. </w:t>
      </w:r>
      <w:r w:rsidR="007C5E38" w:rsidRPr="0013671F">
        <w:rPr>
          <w:rFonts w:cs="Arial"/>
        </w:rPr>
        <w:t xml:space="preserve">All </w:t>
      </w:r>
      <w:r w:rsidR="0019306B" w:rsidRPr="0013671F">
        <w:rPr>
          <w:rFonts w:cs="Arial"/>
        </w:rPr>
        <w:t xml:space="preserve">cells will auto-populate based on your inputs and do not need to be altered. </w:t>
      </w:r>
    </w:p>
    <w:p w14:paraId="48F1734F" w14:textId="26159DFE" w:rsidR="007C5E38" w:rsidRPr="0013671F" w:rsidRDefault="007C5E38" w:rsidP="007C5E38">
      <w:pPr>
        <w:rPr>
          <w:rFonts w:cs="Arial"/>
        </w:rPr>
      </w:pPr>
      <w:r w:rsidRPr="0013671F">
        <w:rPr>
          <w:rFonts w:cs="Arial"/>
        </w:rPr>
        <w:t xml:space="preserve">Beneath </w:t>
      </w:r>
      <w:r w:rsidR="00D62E4D" w:rsidRPr="0013671F">
        <w:rPr>
          <w:rFonts w:cs="Arial"/>
        </w:rPr>
        <w:t>both</w:t>
      </w:r>
      <w:r w:rsidRPr="0013671F">
        <w:rPr>
          <w:rFonts w:cs="Arial"/>
        </w:rPr>
        <w:t xml:space="preserve"> table</w:t>
      </w:r>
      <w:r w:rsidR="00D62E4D" w:rsidRPr="0013671F">
        <w:rPr>
          <w:rFonts w:cs="Arial"/>
        </w:rPr>
        <w:t>s</w:t>
      </w:r>
      <w:r w:rsidRPr="0013671F">
        <w:rPr>
          <w:rFonts w:cs="Arial"/>
        </w:rPr>
        <w:t xml:space="preserve"> are two graphs visualizing the projected revenue</w:t>
      </w:r>
      <w:r w:rsidR="00D62E4D" w:rsidRPr="0013671F">
        <w:rPr>
          <w:rFonts w:cs="Arial"/>
        </w:rPr>
        <w:t>s</w:t>
      </w:r>
      <w:r w:rsidRPr="0013671F">
        <w:rPr>
          <w:rFonts w:cs="Arial"/>
        </w:rPr>
        <w:t>, expense</w:t>
      </w:r>
      <w:r w:rsidR="00D62E4D" w:rsidRPr="0013671F">
        <w:rPr>
          <w:rFonts w:cs="Arial"/>
        </w:rPr>
        <w:t>s</w:t>
      </w:r>
      <w:r w:rsidRPr="0013671F">
        <w:rPr>
          <w:rFonts w:cs="Arial"/>
        </w:rPr>
        <w:t>, and gross profit</w:t>
      </w:r>
      <w:r w:rsidR="00C9602B" w:rsidRPr="0013671F">
        <w:rPr>
          <w:rFonts w:cs="Arial"/>
        </w:rPr>
        <w:t xml:space="preserve"> over time</w:t>
      </w:r>
      <w:r w:rsidRPr="0013671F">
        <w:rPr>
          <w:rFonts w:cs="Arial"/>
        </w:rPr>
        <w:t xml:space="preserve">. </w:t>
      </w:r>
      <w:r w:rsidR="00C9602B" w:rsidRPr="0013671F">
        <w:rPr>
          <w:rFonts w:cs="Arial"/>
        </w:rPr>
        <w:t>The</w:t>
      </w:r>
      <w:r w:rsidRPr="0013671F">
        <w:rPr>
          <w:rFonts w:cs="Arial"/>
        </w:rPr>
        <w:t xml:space="preserve"> bar chart </w:t>
      </w:r>
      <w:r w:rsidR="00C9602B" w:rsidRPr="0013671F">
        <w:rPr>
          <w:rFonts w:cs="Arial"/>
        </w:rPr>
        <w:t>compares</w:t>
      </w:r>
      <w:r w:rsidRPr="0013671F">
        <w:rPr>
          <w:rFonts w:cs="Arial"/>
        </w:rPr>
        <w:t xml:space="preserve"> the total revenues and total expenses </w:t>
      </w:r>
      <w:r w:rsidR="004D5DE0" w:rsidRPr="0013671F">
        <w:rPr>
          <w:rFonts w:cs="Arial"/>
        </w:rPr>
        <w:t>per year</w:t>
      </w:r>
      <w:r w:rsidRPr="0013671F">
        <w:rPr>
          <w:rFonts w:cs="Arial"/>
        </w:rPr>
        <w:t>.</w:t>
      </w:r>
      <w:r w:rsidR="00C9602B" w:rsidRPr="0013671F">
        <w:rPr>
          <w:rFonts w:cs="Arial"/>
        </w:rPr>
        <w:t xml:space="preserve"> The line graph represents the </w:t>
      </w:r>
      <w:r w:rsidR="004D5DE0" w:rsidRPr="0013671F">
        <w:rPr>
          <w:rFonts w:cs="Arial"/>
        </w:rPr>
        <w:t xml:space="preserve">project’s </w:t>
      </w:r>
      <w:r w:rsidR="00C9602B" w:rsidRPr="0013671F">
        <w:rPr>
          <w:rFonts w:cs="Arial"/>
        </w:rPr>
        <w:t>gross profit over time.</w:t>
      </w:r>
    </w:p>
    <w:p w14:paraId="2A8EB5AD" w14:textId="6EB7FA04" w:rsidR="00643D98" w:rsidRPr="00274437" w:rsidRDefault="0013671F" w:rsidP="0013671F">
      <w:pPr>
        <w:pStyle w:val="GMIHeading2"/>
      </w:pPr>
      <w:bookmarkStart w:id="26" w:name="_Toc82090385"/>
      <w:r>
        <w:t xml:space="preserve">2.5 </w:t>
      </w:r>
      <w:r w:rsidR="00643D98" w:rsidRPr="00274437">
        <w:t>Organic Waste Treatment Technologies (Gray Tabs)</w:t>
      </w:r>
      <w:bookmarkEnd w:id="26"/>
    </w:p>
    <w:p w14:paraId="395B34E8" w14:textId="0C9C9863" w:rsidR="00B96238" w:rsidRPr="0013671F" w:rsidRDefault="007E1843" w:rsidP="007E1843">
      <w:pPr>
        <w:rPr>
          <w:rFonts w:cs="Arial"/>
        </w:rPr>
      </w:pPr>
      <w:r w:rsidRPr="1025164B">
        <w:rPr>
          <w:rFonts w:cs="Arial"/>
        </w:rPr>
        <w:t>There are two gray tabs: one for wet anaerobic digestion projects and another for dry anaerobic digestion projects. Both sheets show a</w:t>
      </w:r>
      <w:r w:rsidR="00B96238" w:rsidRPr="1025164B">
        <w:rPr>
          <w:rFonts w:cs="Arial"/>
        </w:rPr>
        <w:t xml:space="preserve"> hypothetical project’s estimated annual Income Statement and Balance Sheet, which is used to determine the IRR.</w:t>
      </w:r>
      <w:r w:rsidR="003E09BF" w:rsidRPr="1025164B">
        <w:rPr>
          <w:rFonts w:cs="Arial"/>
        </w:rPr>
        <w:t xml:space="preserve"> </w:t>
      </w:r>
      <w:r w:rsidR="00B96238" w:rsidRPr="1025164B">
        <w:rPr>
          <w:rFonts w:cs="Arial"/>
        </w:rPr>
        <w:t xml:space="preserve">The IRR is the rate that the modeled project’s cash flows break even with initial investment. IRR is determined by setting the net present value of all cash flows (both positive and negative) from the investment equal to zero. Note </w:t>
      </w:r>
      <w:r w:rsidR="00822BF3" w:rsidRPr="1025164B">
        <w:rPr>
          <w:rFonts w:cs="Arial"/>
        </w:rPr>
        <w:t xml:space="preserve">that </w:t>
      </w:r>
      <w:r w:rsidR="00B96238" w:rsidRPr="1025164B">
        <w:rPr>
          <w:rFonts w:cs="Arial"/>
        </w:rPr>
        <w:t>this model estimates Equity IRR</w:t>
      </w:r>
      <w:r w:rsidR="00043093" w:rsidRPr="1025164B">
        <w:rPr>
          <w:rFonts w:cs="Arial"/>
        </w:rPr>
        <w:t>.</w:t>
      </w:r>
      <w:r w:rsidR="00B96238" w:rsidRPr="1025164B">
        <w:rPr>
          <w:rFonts w:cs="Arial"/>
        </w:rPr>
        <w:t xml:space="preserve"> </w:t>
      </w:r>
    </w:p>
    <w:p w14:paraId="79044B9D" w14:textId="7D853A35" w:rsidR="00643D98" w:rsidRPr="0013671F" w:rsidRDefault="00B96238" w:rsidP="00822BF3">
      <w:pPr>
        <w:ind w:right="180"/>
        <w:rPr>
          <w:rFonts w:cs="Arial"/>
        </w:rPr>
      </w:pPr>
      <w:r w:rsidRPr="0013671F">
        <w:rPr>
          <w:rFonts w:cs="Arial"/>
        </w:rPr>
        <w:t xml:space="preserve">The sheet is organized by first listing important assumptions based on user inputs from tabs “5-Faculty Inputs,” “6-Waste Inputs,” “7-Economic Inputs,” and “8-Default Values.” Below this are estimated project costs and revenues, debt schedules, interest, depreciation, and other important information. </w:t>
      </w:r>
    </w:p>
    <w:p w14:paraId="4D4CBC83" w14:textId="7AB16E1E" w:rsidR="00357432" w:rsidRPr="0013671F" w:rsidRDefault="00357432" w:rsidP="00B96238">
      <w:pPr>
        <w:rPr>
          <w:rFonts w:cs="Arial"/>
        </w:rPr>
      </w:pPr>
      <w:r w:rsidRPr="0013671F">
        <w:rPr>
          <w:rFonts w:cs="Arial"/>
        </w:rPr>
        <w:t xml:space="preserve">These tabs </w:t>
      </w:r>
      <w:r w:rsidR="00F81A84" w:rsidRPr="0013671F">
        <w:rPr>
          <w:rFonts w:cs="Arial"/>
        </w:rPr>
        <w:t>calculate</w:t>
      </w:r>
      <w:r w:rsidRPr="0013671F">
        <w:rPr>
          <w:rFonts w:cs="Arial"/>
        </w:rPr>
        <w:t xml:space="preserve"> various measures of cash flow, profit, debt payments, </w:t>
      </w:r>
      <w:r w:rsidR="00822BF3" w:rsidRPr="0013671F">
        <w:rPr>
          <w:rFonts w:cs="Arial"/>
        </w:rPr>
        <w:t xml:space="preserve">and </w:t>
      </w:r>
      <w:r w:rsidRPr="0013671F">
        <w:rPr>
          <w:rFonts w:cs="Arial"/>
        </w:rPr>
        <w:t xml:space="preserve">expenses following generally accepted accounting methodologies and standards. </w:t>
      </w:r>
      <w:r w:rsidR="00F535E8" w:rsidRPr="0013671F">
        <w:rPr>
          <w:rFonts w:cs="Arial"/>
        </w:rPr>
        <w:t xml:space="preserve">The grey tabs show to the user estimated consolidated project profit and loss, depreciation, operating cash flow, and loan payments over the project’s lifespan. </w:t>
      </w:r>
    </w:p>
    <w:p w14:paraId="1B0AD68D" w14:textId="46CD53C5" w:rsidR="0028772B" w:rsidRPr="00274437" w:rsidRDefault="0013671F" w:rsidP="0013671F">
      <w:pPr>
        <w:pStyle w:val="GMIHeading2"/>
      </w:pPr>
      <w:bookmarkStart w:id="27" w:name="_Toc82090386"/>
      <w:r>
        <w:t xml:space="preserve">2.6 </w:t>
      </w:r>
      <w:r w:rsidR="0028772B" w:rsidRPr="00274437">
        <w:t>Additional Information (Green Tabs)</w:t>
      </w:r>
      <w:bookmarkEnd w:id="27"/>
    </w:p>
    <w:p w14:paraId="09D59DCB" w14:textId="5B9CE408" w:rsidR="0028772B" w:rsidRPr="00274437" w:rsidRDefault="0013671F" w:rsidP="0013671F">
      <w:pPr>
        <w:pStyle w:val="GMIHeading3"/>
      </w:pPr>
      <w:bookmarkStart w:id="28" w:name="_Toc82090387"/>
      <w:r>
        <w:t xml:space="preserve">2.6.1 </w:t>
      </w:r>
      <w:r w:rsidR="0028772B" w:rsidRPr="00274437">
        <w:t xml:space="preserve">Tool </w:t>
      </w:r>
      <w:r w:rsidR="0028772B" w:rsidRPr="001F476F">
        <w:t>Assumptions</w:t>
      </w:r>
      <w:bookmarkEnd w:id="28"/>
    </w:p>
    <w:p w14:paraId="63131B8F" w14:textId="6D045039" w:rsidR="0028772B" w:rsidRPr="00B52FF6" w:rsidRDefault="0028772B" w:rsidP="0028772B">
      <w:pPr>
        <w:rPr>
          <w:rFonts w:cs="Arial"/>
        </w:rPr>
      </w:pPr>
      <w:r w:rsidRPr="00B52FF6">
        <w:rPr>
          <w:rFonts w:cs="Arial"/>
        </w:rPr>
        <w:t xml:space="preserve">The Tool Assumptions tab displays all fixed parameter values for all calculations in the OrganEcs tool. </w:t>
      </w:r>
    </w:p>
    <w:p w14:paraId="6F151A3B" w14:textId="6E376C3D" w:rsidR="0028772B" w:rsidRPr="00274437" w:rsidRDefault="0013671F" w:rsidP="0013671F">
      <w:pPr>
        <w:pStyle w:val="GMIHeading3"/>
      </w:pPr>
      <w:bookmarkStart w:id="29" w:name="_Toc82090388"/>
      <w:r>
        <w:t xml:space="preserve">2.6.2 </w:t>
      </w:r>
      <w:r w:rsidR="0028772B" w:rsidRPr="001F476F">
        <w:t>Sources</w:t>
      </w:r>
      <w:bookmarkEnd w:id="29"/>
    </w:p>
    <w:p w14:paraId="5E9D3DA4" w14:textId="41C1604C" w:rsidR="00822BF3" w:rsidRPr="00B52FF6" w:rsidRDefault="0028772B" w:rsidP="00FB7EA4">
      <w:pPr>
        <w:rPr>
          <w:rFonts w:cs="Arial"/>
        </w:rPr>
      </w:pPr>
      <w:r w:rsidRPr="00B52FF6">
        <w:rPr>
          <w:rFonts w:cs="Arial"/>
        </w:rPr>
        <w:t>The Sources tab lists call data sources used to create the OrganEcs tool with one citation per row.</w:t>
      </w:r>
      <w:r w:rsidR="00822BF3" w:rsidRPr="00B52FF6">
        <w:rPr>
          <w:rFonts w:cs="Arial"/>
        </w:rPr>
        <w:br w:type="page"/>
      </w:r>
    </w:p>
    <w:p w14:paraId="1F83AE10" w14:textId="3CAA77C4" w:rsidR="00BC4281" w:rsidRPr="00274437" w:rsidRDefault="0013671F" w:rsidP="0013671F">
      <w:pPr>
        <w:pStyle w:val="GMIHeading1"/>
      </w:pPr>
      <w:bookmarkStart w:id="30" w:name="_Toc82090389"/>
      <w:r>
        <w:lastRenderedPageBreak/>
        <w:t>3.</w:t>
      </w:r>
      <w:r w:rsidR="00FB7EA4">
        <w:t xml:space="preserve"> OrganEcs Compost Edition: Tab-by-Tab Guide</w:t>
      </w:r>
      <w:bookmarkEnd w:id="30"/>
      <w:r>
        <w:t xml:space="preserve"> </w:t>
      </w:r>
    </w:p>
    <w:p w14:paraId="19B971D5" w14:textId="04BC88BE" w:rsidR="00BC4281" w:rsidRPr="00274437" w:rsidRDefault="0013671F" w:rsidP="0013671F">
      <w:pPr>
        <w:pStyle w:val="GMIHeading2"/>
      </w:pPr>
      <w:bookmarkStart w:id="31" w:name="_Toc82090390"/>
      <w:r>
        <w:t xml:space="preserve">3.1 </w:t>
      </w:r>
      <w:r w:rsidR="00BC4281" w:rsidRPr="00274437">
        <w:t>Basic Tool Information (Brown Tabs)</w:t>
      </w:r>
      <w:bookmarkEnd w:id="31"/>
    </w:p>
    <w:p w14:paraId="14A4D5D9" w14:textId="4FE80ED4" w:rsidR="001F476F" w:rsidRPr="00274437" w:rsidRDefault="0013671F" w:rsidP="0013671F">
      <w:pPr>
        <w:pStyle w:val="GMIHeading3"/>
      </w:pPr>
      <w:bookmarkStart w:id="32" w:name="_Toc82090391"/>
      <w:r>
        <w:t xml:space="preserve">3.1.1 </w:t>
      </w:r>
      <w:r w:rsidR="001F476F" w:rsidRPr="001F476F">
        <w:t>Cover</w:t>
      </w:r>
      <w:bookmarkEnd w:id="32"/>
    </w:p>
    <w:p w14:paraId="12AC9424" w14:textId="77777777" w:rsidR="001F476F" w:rsidRPr="0013671F" w:rsidRDefault="001F476F" w:rsidP="001F476F">
      <w:pPr>
        <w:rPr>
          <w:rFonts w:cs="Arial"/>
        </w:rPr>
      </w:pPr>
      <w:r w:rsidRPr="0013671F">
        <w:rPr>
          <w:rFonts w:cs="Arial"/>
        </w:rPr>
        <w:t>The Cover tab includes attribution and contact information.</w:t>
      </w:r>
    </w:p>
    <w:p w14:paraId="01BBE64C" w14:textId="0C17D822" w:rsidR="001F476F" w:rsidRPr="00274437" w:rsidRDefault="0013671F" w:rsidP="0013671F">
      <w:pPr>
        <w:pStyle w:val="GMIHeading3"/>
      </w:pPr>
      <w:bookmarkStart w:id="33" w:name="_Toc82090392"/>
      <w:r>
        <w:t xml:space="preserve">3.1.2 </w:t>
      </w:r>
      <w:r w:rsidR="001F476F" w:rsidRPr="001F476F">
        <w:t>Title</w:t>
      </w:r>
      <w:bookmarkEnd w:id="33"/>
    </w:p>
    <w:p w14:paraId="207EB473" w14:textId="09106922" w:rsidR="001F476F" w:rsidRPr="0013671F" w:rsidRDefault="001F476F" w:rsidP="001F476F">
      <w:pPr>
        <w:rPr>
          <w:rFonts w:cs="Arial"/>
        </w:rPr>
      </w:pPr>
      <w:r w:rsidRPr="0013671F">
        <w:rPr>
          <w:rFonts w:cs="Arial"/>
        </w:rPr>
        <w:t>The Title tab includes the full title</w:t>
      </w:r>
      <w:r w:rsidR="00043093" w:rsidRPr="0013671F">
        <w:rPr>
          <w:rFonts w:cs="Arial"/>
        </w:rPr>
        <w:t>, acknowledgements, and disclaimer,</w:t>
      </w:r>
      <w:r w:rsidRPr="0013671F">
        <w:rPr>
          <w:rFonts w:cs="Arial"/>
        </w:rPr>
        <w:t xml:space="preserve"> as well as a recommended citation for the tool. </w:t>
      </w:r>
    </w:p>
    <w:p w14:paraId="37DD5428" w14:textId="43965BC9" w:rsidR="001F476F" w:rsidRPr="00274437" w:rsidRDefault="0013671F" w:rsidP="0013671F">
      <w:pPr>
        <w:pStyle w:val="GMIHeading3"/>
      </w:pPr>
      <w:bookmarkStart w:id="34" w:name="_Toc82090393"/>
      <w:r>
        <w:t xml:space="preserve">3.1.3 </w:t>
      </w:r>
      <w:r w:rsidR="001F476F" w:rsidRPr="001F476F">
        <w:t>Contents</w:t>
      </w:r>
      <w:bookmarkEnd w:id="34"/>
    </w:p>
    <w:p w14:paraId="40F24BBD" w14:textId="1BE62EE9" w:rsidR="001F476F" w:rsidRPr="0013671F" w:rsidRDefault="001F476F" w:rsidP="001F476F">
      <w:pPr>
        <w:rPr>
          <w:rFonts w:cs="Arial"/>
        </w:rPr>
      </w:pPr>
      <w:r w:rsidRPr="0013671F">
        <w:rPr>
          <w:rFonts w:cs="Arial"/>
        </w:rPr>
        <w:t xml:space="preserve">The Contents tab has the names of all tabs in the OrganEcs tool color-coded and listed as hyperlinks </w:t>
      </w:r>
      <w:r w:rsidR="00043093" w:rsidRPr="0013671F">
        <w:rPr>
          <w:rFonts w:cs="Arial"/>
        </w:rPr>
        <w:t>to easily navigate to any tabs.</w:t>
      </w:r>
    </w:p>
    <w:p w14:paraId="2A5056E5" w14:textId="43AA652F" w:rsidR="001F476F" w:rsidRPr="00274437" w:rsidRDefault="0013671F" w:rsidP="0013671F">
      <w:pPr>
        <w:pStyle w:val="GMIHeading3"/>
      </w:pPr>
      <w:bookmarkStart w:id="35" w:name="_Toc82090394"/>
      <w:r>
        <w:t xml:space="preserve">3.1.4 </w:t>
      </w:r>
      <w:r w:rsidR="001F476F" w:rsidRPr="001F476F">
        <w:t>Background</w:t>
      </w:r>
      <w:bookmarkEnd w:id="35"/>
    </w:p>
    <w:p w14:paraId="672262BC" w14:textId="77777777" w:rsidR="001F476F" w:rsidRPr="0013671F" w:rsidRDefault="001F476F" w:rsidP="001F476F">
      <w:pPr>
        <w:rPr>
          <w:rFonts w:cs="Arial"/>
        </w:rPr>
      </w:pPr>
      <w:r w:rsidRPr="0013671F">
        <w:rPr>
          <w:rFonts w:cs="Arial"/>
        </w:rPr>
        <w:t xml:space="preserve">The Background tab briefly describes the purpose of the OrganEcs tool. </w:t>
      </w:r>
    </w:p>
    <w:p w14:paraId="2D32B471" w14:textId="1B9328C7" w:rsidR="001F476F" w:rsidRPr="00274437" w:rsidRDefault="0013671F" w:rsidP="0013671F">
      <w:pPr>
        <w:pStyle w:val="GMIHeading3"/>
      </w:pPr>
      <w:bookmarkStart w:id="36" w:name="_Toc82090395"/>
      <w:r>
        <w:t xml:space="preserve">3.1.5 </w:t>
      </w:r>
      <w:r w:rsidR="001F476F" w:rsidRPr="001F476F">
        <w:t>Instructions</w:t>
      </w:r>
      <w:bookmarkEnd w:id="36"/>
    </w:p>
    <w:p w14:paraId="0D412D58" w14:textId="44194E3F" w:rsidR="001F476F" w:rsidRPr="0013671F" w:rsidRDefault="001F476F" w:rsidP="001F476F">
      <w:pPr>
        <w:rPr>
          <w:rFonts w:cs="Arial"/>
        </w:rPr>
      </w:pPr>
      <w:r w:rsidRPr="0013671F">
        <w:rPr>
          <w:rFonts w:cs="Arial"/>
        </w:rPr>
        <w:t>The Instructions tab provides an overview of the model organization and describes what a user must do to complete a OrganEcs run. You can also find a list of tool limitations</w:t>
      </w:r>
      <w:r w:rsidR="00043093" w:rsidRPr="0013671F">
        <w:rPr>
          <w:rFonts w:cs="Arial"/>
        </w:rPr>
        <w:t xml:space="preserve"> and assumptions</w:t>
      </w:r>
      <w:r w:rsidRPr="0013671F">
        <w:rPr>
          <w:rFonts w:cs="Arial"/>
        </w:rPr>
        <w:t>.</w:t>
      </w:r>
    </w:p>
    <w:p w14:paraId="6C6081C5" w14:textId="64D1F8D4" w:rsidR="00BC4281" w:rsidRPr="00274437" w:rsidRDefault="0013671F" w:rsidP="0013671F">
      <w:pPr>
        <w:pStyle w:val="GMIHeading2"/>
      </w:pPr>
      <w:bookmarkStart w:id="37" w:name="_Toc82090396"/>
      <w:r>
        <w:t xml:space="preserve">3.2 </w:t>
      </w:r>
      <w:r w:rsidR="00BC4281" w:rsidRPr="00274437">
        <w:t>Data Inputs (Blue Tabs)</w:t>
      </w:r>
      <w:bookmarkEnd w:id="37"/>
    </w:p>
    <w:p w14:paraId="253E6C2D" w14:textId="0570D29E" w:rsidR="00911A06" w:rsidRPr="00274437" w:rsidRDefault="0013671F" w:rsidP="0013671F">
      <w:pPr>
        <w:pStyle w:val="GMIHeading3"/>
      </w:pPr>
      <w:bookmarkStart w:id="38" w:name="_Toc82090397"/>
      <w:r>
        <w:t xml:space="preserve">3.2.1 </w:t>
      </w:r>
      <w:r w:rsidR="00911A06" w:rsidRPr="00274437">
        <w:t xml:space="preserve">Facility </w:t>
      </w:r>
      <w:r w:rsidR="00911A06" w:rsidRPr="001F476F">
        <w:t>Inputs</w:t>
      </w:r>
      <w:bookmarkEnd w:id="38"/>
    </w:p>
    <w:p w14:paraId="3123F23C" w14:textId="1255B107" w:rsidR="00344159" w:rsidRPr="0013671F" w:rsidRDefault="00344159" w:rsidP="00344159">
      <w:pPr>
        <w:rPr>
          <w:rFonts w:cs="Arial"/>
        </w:rPr>
      </w:pPr>
      <w:r w:rsidRPr="0013671F">
        <w:rPr>
          <w:rFonts w:cs="Arial"/>
        </w:rPr>
        <w:t>This tab collects information about the design, construction, and operation parameters for your facility.</w:t>
      </w:r>
    </w:p>
    <w:p w14:paraId="4B10C682"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Technology Selection</w:t>
      </w:r>
    </w:p>
    <w:p w14:paraId="5D9C337B" w14:textId="313935F3" w:rsidR="00344159" w:rsidRPr="0013671F" w:rsidRDefault="00344159" w:rsidP="00344159">
      <w:pPr>
        <w:rPr>
          <w:rFonts w:cs="Arial"/>
        </w:rPr>
      </w:pPr>
      <w:r w:rsidRPr="0013671F">
        <w:rPr>
          <w:rFonts w:cs="Arial"/>
        </w:rPr>
        <w:t>Select “Yes” in the dropdown list for the waste treatment technologies you are interested in developing or comparing. If you do not want to include the technology, select “No.”</w:t>
      </w:r>
    </w:p>
    <w:p w14:paraId="4C6FCFBF"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Facility Operations</w:t>
      </w:r>
    </w:p>
    <w:p w14:paraId="7881B8F6" w14:textId="0BC0ACF6" w:rsidR="00344159" w:rsidRPr="0013671F" w:rsidRDefault="00344159" w:rsidP="00344159">
      <w:pPr>
        <w:rPr>
          <w:rFonts w:cs="Arial"/>
        </w:rPr>
      </w:pPr>
      <w:r w:rsidRPr="0013671F">
        <w:rPr>
          <w:rFonts w:cs="Arial"/>
        </w:rPr>
        <w:t xml:space="preserve">Enter the year construction will begin on the facility and the estimated time period </w:t>
      </w:r>
      <w:r w:rsidR="003676C7" w:rsidRPr="0013671F">
        <w:rPr>
          <w:rFonts w:cs="Arial"/>
        </w:rPr>
        <w:t>for</w:t>
      </w:r>
      <w:r w:rsidRPr="0013671F">
        <w:rPr>
          <w:rFonts w:cs="Arial"/>
        </w:rPr>
        <w:t xml:space="preserve"> construction in the “Investment Year” and “Construction Period” fields (rows 14 and 15). The gray cells will auto-populate </w:t>
      </w:r>
      <w:r w:rsidR="003676C7" w:rsidRPr="0013671F">
        <w:rPr>
          <w:rFonts w:cs="Arial"/>
        </w:rPr>
        <w:t>based on</w:t>
      </w:r>
      <w:r w:rsidRPr="0013671F">
        <w:rPr>
          <w:rFonts w:cs="Arial"/>
        </w:rPr>
        <w:t xml:space="preserve"> the information entered into the blue cells. Fill in the average round-trip distances in kilometers from the proposed facility to surrounding waste generators and landfills in rows 21 to 23.  </w:t>
      </w:r>
    </w:p>
    <w:p w14:paraId="23A1A8C2" w14:textId="77777777" w:rsidR="00344159" w:rsidRPr="0013671F" w:rsidRDefault="00344159" w:rsidP="00344159">
      <w:pPr>
        <w:pStyle w:val="Heading4"/>
        <w:rPr>
          <w:rFonts w:ascii="Arial Nova Light" w:hAnsi="Arial Nova Light"/>
          <w:color w:val="0A4990"/>
        </w:rPr>
      </w:pPr>
      <w:r w:rsidRPr="0013671F">
        <w:rPr>
          <w:rFonts w:ascii="Arial Nova Light" w:hAnsi="Arial Nova Light"/>
          <w:color w:val="0A4990"/>
        </w:rPr>
        <w:t>Facility Design</w:t>
      </w:r>
    </w:p>
    <w:p w14:paraId="23F40580" w14:textId="71F578A5" w:rsidR="00344159" w:rsidRPr="0013671F" w:rsidRDefault="00344159" w:rsidP="00344159">
      <w:pPr>
        <w:rPr>
          <w:rFonts w:cs="Arial"/>
        </w:rPr>
      </w:pPr>
      <w:r w:rsidRPr="0013671F">
        <w:rPr>
          <w:rFonts w:cs="Arial"/>
        </w:rPr>
        <w:t>For the peak throughput operating year of the facility and the percentage of compost the facility intends to sell each year, OrganEcs provides default values that a user can either choose to use or alter based on available information.</w:t>
      </w:r>
    </w:p>
    <w:p w14:paraId="0BD3E9D4" w14:textId="2E2E3CFF" w:rsidR="00344159" w:rsidRPr="0013671F" w:rsidRDefault="00344159" w:rsidP="00344159">
      <w:pPr>
        <w:rPr>
          <w:rFonts w:cs="Arial"/>
        </w:rPr>
      </w:pPr>
      <w:r w:rsidRPr="0013671F">
        <w:rPr>
          <w:rFonts w:cs="Arial"/>
        </w:rPr>
        <w:lastRenderedPageBreak/>
        <w:t xml:space="preserve">Enter the percentage of capital expenditures invested into waste treatment equipment that are subject to value-added taxation (VAT). In the “Ancillary Costs” field in row 28, enter the total costs and expenses incurred from operating </w:t>
      </w:r>
      <w:r w:rsidR="00832B0F" w:rsidRPr="0013671F">
        <w:rPr>
          <w:rFonts w:cs="Arial"/>
        </w:rPr>
        <w:t xml:space="preserve">the </w:t>
      </w:r>
      <w:r w:rsidRPr="0013671F">
        <w:rPr>
          <w:rFonts w:cs="Arial"/>
        </w:rPr>
        <w:t>equipment.</w:t>
      </w:r>
    </w:p>
    <w:p w14:paraId="2913C683" w14:textId="010B0A9D" w:rsidR="00911A06" w:rsidRPr="00274437" w:rsidRDefault="0013671F" w:rsidP="0013671F">
      <w:pPr>
        <w:pStyle w:val="GMIHeading3"/>
      </w:pPr>
      <w:bookmarkStart w:id="39" w:name="_Toc82090398"/>
      <w:r>
        <w:t xml:space="preserve">3.2.2 </w:t>
      </w:r>
      <w:r w:rsidR="00911A06" w:rsidRPr="00274437">
        <w:t xml:space="preserve">Waste </w:t>
      </w:r>
      <w:r w:rsidR="00911A06" w:rsidRPr="001F476F">
        <w:t>Inputs</w:t>
      </w:r>
      <w:bookmarkEnd w:id="39"/>
    </w:p>
    <w:p w14:paraId="4E046FD0" w14:textId="77777777" w:rsidR="003F6F3E" w:rsidRPr="0013671F" w:rsidRDefault="003F6F3E" w:rsidP="003F6F3E">
      <w:pPr>
        <w:rPr>
          <w:rFonts w:cs="Arial"/>
        </w:rPr>
      </w:pPr>
      <w:r w:rsidRPr="0013671F">
        <w:rPr>
          <w:rFonts w:cs="Arial"/>
        </w:rPr>
        <w:t xml:space="preserve">This tab collects information about the availability and characteristics of the waste feedstock you intend to send to the facility. </w:t>
      </w:r>
    </w:p>
    <w:p w14:paraId="1B426956" w14:textId="77777777" w:rsidR="003F6F3E" w:rsidRPr="0013671F" w:rsidRDefault="003F6F3E" w:rsidP="003F6F3E">
      <w:pPr>
        <w:pStyle w:val="Heading4"/>
        <w:rPr>
          <w:rFonts w:ascii="Arial Nova Light" w:hAnsi="Arial Nova Light"/>
        </w:rPr>
      </w:pPr>
      <w:r w:rsidRPr="0013671F">
        <w:rPr>
          <w:rFonts w:ascii="Arial Nova Light" w:hAnsi="Arial Nova Light"/>
        </w:rPr>
        <w:t>Feedstock Availability Bulking Agent</w:t>
      </w:r>
    </w:p>
    <w:p w14:paraId="5DCFDBDC" w14:textId="091118BF" w:rsidR="003F6F3E" w:rsidRPr="0013671F" w:rsidRDefault="003F6F3E" w:rsidP="003F6F3E">
      <w:pPr>
        <w:rPr>
          <w:rFonts w:cs="Arial"/>
        </w:rPr>
      </w:pPr>
      <w:r w:rsidRPr="0013671F">
        <w:rPr>
          <w:rFonts w:cs="Arial"/>
        </w:rPr>
        <w:t>Enter the amount of waste that will be sent to the facility per year for each waste type in the blue cells in row 20 (“Yard Waste” through “Purchased Bulking Agent for Compost”).</w:t>
      </w:r>
      <w:r w:rsidR="00D70CF1" w:rsidRPr="0013671F">
        <w:rPr>
          <w:rFonts w:cs="Arial"/>
        </w:rPr>
        <w:t xml:space="preserve"> Note that composting without forced aeration requires either 100 percent yard waste or a mix of yard waste, food waste, manure, and sludge that is at least 60 percent yard waste.</w:t>
      </w:r>
      <w:r w:rsidRPr="0013671F">
        <w:rPr>
          <w:rFonts w:cs="Arial"/>
        </w:rPr>
        <w:t xml:space="preserve"> The total feedstock availability, which excludes the purchased bulking agent, will be calculated based on the inputted values (cell L20).</w:t>
      </w:r>
    </w:p>
    <w:p w14:paraId="0A327C0A" w14:textId="77777777" w:rsidR="003F6F3E" w:rsidRPr="0013671F" w:rsidRDefault="003F6F3E" w:rsidP="003F6F3E">
      <w:pPr>
        <w:rPr>
          <w:rFonts w:cs="Arial"/>
        </w:rPr>
      </w:pPr>
      <w:r w:rsidRPr="0013671F">
        <w:rPr>
          <w:rFonts w:cs="Arial"/>
        </w:rPr>
        <w:t xml:space="preserve">The yellow cells in this table contain default feedstock characteristics, derived from the literature. You may choose to replace these values with facility-specific data, if available. </w:t>
      </w:r>
    </w:p>
    <w:p w14:paraId="4DCD3B70" w14:textId="6682B41C" w:rsidR="003F6F3E" w:rsidRPr="0013671F" w:rsidRDefault="003F6F3E" w:rsidP="003F6F3E">
      <w:pPr>
        <w:rPr>
          <w:rFonts w:cs="Arial"/>
        </w:rPr>
      </w:pPr>
      <w:r w:rsidRPr="0013671F">
        <w:rPr>
          <w:rFonts w:cs="Arial"/>
        </w:rPr>
        <w:t xml:space="preserve">Based on the values entered for each waste category, the tool will calculate the </w:t>
      </w:r>
      <w:r w:rsidR="00822BF3" w:rsidRPr="0013671F">
        <w:rPr>
          <w:rFonts w:cs="Arial"/>
        </w:rPr>
        <w:t>c</w:t>
      </w:r>
      <w:r w:rsidRPr="0013671F">
        <w:rPr>
          <w:rFonts w:cs="Arial"/>
        </w:rPr>
        <w:t xml:space="preserve">arbon to </w:t>
      </w:r>
      <w:r w:rsidR="00822BF3" w:rsidRPr="0013671F">
        <w:rPr>
          <w:rFonts w:cs="Arial"/>
        </w:rPr>
        <w:t>n</w:t>
      </w:r>
      <w:r w:rsidRPr="0013671F">
        <w:rPr>
          <w:rFonts w:cs="Arial"/>
        </w:rPr>
        <w:t>itrogen</w:t>
      </w:r>
      <w:r w:rsidR="00043093" w:rsidRPr="0013671F">
        <w:rPr>
          <w:rFonts w:cs="Arial"/>
        </w:rPr>
        <w:t xml:space="preserve"> (C:N)</w:t>
      </w:r>
      <w:r w:rsidRPr="0013671F">
        <w:rPr>
          <w:rFonts w:cs="Arial"/>
        </w:rPr>
        <w:t xml:space="preserve"> ratio for the waste, as well as the moisture percentage and the percent of volatile solids.</w:t>
      </w:r>
      <w:r w:rsidR="00AB5344" w:rsidRPr="0013671F">
        <w:rPr>
          <w:rFonts w:cs="Arial"/>
        </w:rPr>
        <w:t xml:space="preserve"> </w:t>
      </w:r>
    </w:p>
    <w:p w14:paraId="556E0D2E" w14:textId="77777777" w:rsidR="003F6F3E" w:rsidRPr="0013671F" w:rsidRDefault="003F6F3E" w:rsidP="003F6F3E">
      <w:pPr>
        <w:pStyle w:val="Heading4"/>
        <w:rPr>
          <w:rFonts w:ascii="Arial Nova Light" w:hAnsi="Arial Nova Light"/>
        </w:rPr>
      </w:pPr>
      <w:r w:rsidRPr="0013671F">
        <w:rPr>
          <w:rFonts w:ascii="Arial Nova Light" w:hAnsi="Arial Nova Light"/>
        </w:rPr>
        <w:t>Total Incoming Feedback</w:t>
      </w:r>
    </w:p>
    <w:p w14:paraId="79FC8136" w14:textId="3F447C86" w:rsidR="003F6F3E" w:rsidRPr="0013671F" w:rsidRDefault="00D70CF1" w:rsidP="003F6F3E">
      <w:pPr>
        <w:rPr>
          <w:rFonts w:cs="Arial"/>
        </w:rPr>
      </w:pPr>
      <w:r w:rsidRPr="0013671F">
        <w:rPr>
          <w:rFonts w:cs="Arial"/>
        </w:rPr>
        <w:t xml:space="preserve">Enter </w:t>
      </w:r>
      <w:r w:rsidR="003F6F3E" w:rsidRPr="0013671F">
        <w:rPr>
          <w:rFonts w:cs="Arial"/>
        </w:rPr>
        <w:t xml:space="preserve">the </w:t>
      </w:r>
      <w:r w:rsidRPr="0013671F">
        <w:rPr>
          <w:rFonts w:cs="Arial"/>
        </w:rPr>
        <w:t xml:space="preserve">growth rate of waste as a percentage in cell E40. The model assumes the facility will have the capacity </w:t>
      </w:r>
      <w:r w:rsidR="00762B4C" w:rsidRPr="0013671F">
        <w:rPr>
          <w:rFonts w:cs="Arial"/>
        </w:rPr>
        <w:t>to process</w:t>
      </w:r>
      <w:r w:rsidRPr="0013671F">
        <w:rPr>
          <w:rFonts w:cs="Arial"/>
        </w:rPr>
        <w:t xml:space="preserve"> the amount of waste generated</w:t>
      </w:r>
      <w:r w:rsidR="00A81CAA" w:rsidRPr="0013671F">
        <w:rPr>
          <w:rFonts w:cs="Arial"/>
        </w:rPr>
        <w:t xml:space="preserve"> by the site</w:t>
      </w:r>
      <w:r w:rsidRPr="0013671F">
        <w:rPr>
          <w:rFonts w:cs="Arial"/>
        </w:rPr>
        <w:t xml:space="preserve"> </w:t>
      </w:r>
      <w:r w:rsidR="00822BF3" w:rsidRPr="0013671F">
        <w:rPr>
          <w:rFonts w:cs="Arial"/>
        </w:rPr>
        <w:t>three</w:t>
      </w:r>
      <w:r w:rsidRPr="0013671F">
        <w:rPr>
          <w:rFonts w:cs="Arial"/>
        </w:rPr>
        <w:t xml:space="preserve"> years from now,</w:t>
      </w:r>
      <w:r w:rsidR="00EF1F60" w:rsidRPr="0013671F">
        <w:rPr>
          <w:rFonts w:cs="Arial"/>
        </w:rPr>
        <w:t xml:space="preserve"> which is </w:t>
      </w:r>
      <w:r w:rsidRPr="0013671F">
        <w:rPr>
          <w:rFonts w:cs="Arial"/>
        </w:rPr>
        <w:t xml:space="preserve">determined by the inputted growth rate. If you do not want the facility to grow in capacity, change the “Peak Throughput Operating Year” field in the Facility Inputs tab.  </w:t>
      </w:r>
    </w:p>
    <w:p w14:paraId="66F5FD36" w14:textId="1A6EC9F9" w:rsidR="003F6F3E" w:rsidRPr="0013671F" w:rsidRDefault="003F6F3E" w:rsidP="003F6F3E">
      <w:pPr>
        <w:rPr>
          <w:rFonts w:cs="Arial"/>
        </w:rPr>
      </w:pPr>
      <w:r w:rsidRPr="0013671F">
        <w:rPr>
          <w:rFonts w:cs="Arial"/>
        </w:rPr>
        <w:t xml:space="preserve">The tool provides default minimum throughput requirements. You may choose to replace these assumptions with site-specific </w:t>
      </w:r>
      <w:r w:rsidR="00A9752A" w:rsidRPr="0013671F">
        <w:rPr>
          <w:rFonts w:cs="Arial"/>
        </w:rPr>
        <w:t>data but</w:t>
      </w:r>
      <w:r w:rsidRPr="0013671F">
        <w:rPr>
          <w:rFonts w:cs="Arial"/>
        </w:rPr>
        <w:t xml:space="preserve"> note that the tool requires a minimum waste throughput of 2,000 TPY </w:t>
      </w:r>
      <w:r w:rsidR="00D70CF1" w:rsidRPr="0013671F">
        <w:rPr>
          <w:rFonts w:cs="Arial"/>
        </w:rPr>
        <w:t>for both types of composting scenarios</w:t>
      </w:r>
      <w:r w:rsidRPr="0013671F">
        <w:rPr>
          <w:rFonts w:cs="Arial"/>
        </w:rPr>
        <w:t xml:space="preserve">.  </w:t>
      </w:r>
    </w:p>
    <w:p w14:paraId="66C97C80" w14:textId="130C908D" w:rsidR="00911A06" w:rsidRPr="00274437" w:rsidRDefault="0013671F" w:rsidP="0013671F">
      <w:pPr>
        <w:pStyle w:val="GMIHeading3"/>
      </w:pPr>
      <w:bookmarkStart w:id="40" w:name="_Toc82090399"/>
      <w:r>
        <w:t xml:space="preserve">3.2.3 </w:t>
      </w:r>
      <w:r w:rsidR="00911A06" w:rsidRPr="00274437">
        <w:t xml:space="preserve">Economic </w:t>
      </w:r>
      <w:r w:rsidR="00911A06" w:rsidRPr="001F476F">
        <w:t>Inputs</w:t>
      </w:r>
      <w:bookmarkEnd w:id="40"/>
    </w:p>
    <w:p w14:paraId="7E7BB977" w14:textId="6D1174C4" w:rsidR="009305D3" w:rsidRPr="0013671F" w:rsidRDefault="009305D3" w:rsidP="009305D3">
      <w:pPr>
        <w:rPr>
          <w:rFonts w:cs="Arial"/>
        </w:rPr>
      </w:pPr>
      <w:r w:rsidRPr="0013671F">
        <w:rPr>
          <w:rFonts w:cs="Arial"/>
        </w:rPr>
        <w:t>This tab collects information about the project costs and revenues. Prices should be entered in the current year and in USD.</w:t>
      </w:r>
    </w:p>
    <w:p w14:paraId="6B87088F" w14:textId="77777777" w:rsidR="009305D3" w:rsidRPr="0013671F" w:rsidRDefault="009305D3" w:rsidP="009305D3">
      <w:pPr>
        <w:pStyle w:val="Heading4"/>
        <w:rPr>
          <w:rFonts w:ascii="Arial Nova Light" w:hAnsi="Arial Nova Light"/>
        </w:rPr>
      </w:pPr>
      <w:r w:rsidRPr="0013671F">
        <w:rPr>
          <w:rFonts w:ascii="Arial Nova Light" w:hAnsi="Arial Nova Light"/>
        </w:rPr>
        <w:t>Project Costs</w:t>
      </w:r>
    </w:p>
    <w:p w14:paraId="36603961" w14:textId="73A02B2A" w:rsidR="009305D3" w:rsidRPr="0013671F" w:rsidRDefault="009305D3" w:rsidP="009305D3">
      <w:pPr>
        <w:rPr>
          <w:rFonts w:cs="Arial"/>
        </w:rPr>
      </w:pPr>
      <w:r w:rsidRPr="0013671F">
        <w:rPr>
          <w:rFonts w:cs="Arial"/>
        </w:rPr>
        <w:t xml:space="preserve">Fill in project-specific costs for labor, facility operations, energy purchases, land purchases or leases, </w:t>
      </w:r>
      <w:r w:rsidR="00505EC3" w:rsidRPr="0013671F">
        <w:rPr>
          <w:rFonts w:cs="Arial"/>
        </w:rPr>
        <w:t xml:space="preserve">and </w:t>
      </w:r>
      <w:r w:rsidRPr="0013671F">
        <w:rPr>
          <w:rFonts w:cs="Arial"/>
        </w:rPr>
        <w:t xml:space="preserve">site development and equipment costs. </w:t>
      </w:r>
    </w:p>
    <w:p w14:paraId="24861994" w14:textId="0CE705D9" w:rsidR="009305D3" w:rsidRPr="0013671F" w:rsidRDefault="009305D3" w:rsidP="009305D3">
      <w:pPr>
        <w:rPr>
          <w:rFonts w:cs="Arial"/>
        </w:rPr>
      </w:pPr>
      <w:r w:rsidRPr="0013671F">
        <w:rPr>
          <w:rFonts w:cs="Arial"/>
        </w:rPr>
        <w:t>For the labor cost per person (cells E12 and E13), enter the cost of employing one manager or one operator</w:t>
      </w:r>
      <w:r w:rsidR="00E34B6F" w:rsidRPr="0013671F">
        <w:rPr>
          <w:rFonts w:cs="Arial"/>
        </w:rPr>
        <w:t xml:space="preserve"> and the number of each type of employee in E14 and E15</w:t>
      </w:r>
      <w:r w:rsidRPr="0013671F">
        <w:rPr>
          <w:rFonts w:cs="Arial"/>
        </w:rPr>
        <w:t>. The model will calculate the total labor</w:t>
      </w:r>
      <w:r w:rsidR="00E34B6F" w:rsidRPr="0013671F">
        <w:rPr>
          <w:rFonts w:cs="Arial"/>
        </w:rPr>
        <w:t xml:space="preserve"> costs</w:t>
      </w:r>
      <w:r w:rsidRPr="0013671F">
        <w:rPr>
          <w:rFonts w:cs="Arial"/>
        </w:rPr>
        <w:t xml:space="preserve"> required in tabs 10 and 11. The labor cost should include the base pay and any benefits provided.</w:t>
      </w:r>
    </w:p>
    <w:p w14:paraId="7B507E63" w14:textId="77777777" w:rsidR="009305D3" w:rsidRPr="0013671F" w:rsidRDefault="009305D3" w:rsidP="009305D3">
      <w:pPr>
        <w:pStyle w:val="Heading4"/>
        <w:rPr>
          <w:rFonts w:ascii="Arial Nova Light" w:hAnsi="Arial Nova Light"/>
        </w:rPr>
      </w:pPr>
      <w:r w:rsidRPr="0013671F">
        <w:rPr>
          <w:rFonts w:ascii="Arial Nova Light" w:hAnsi="Arial Nova Light"/>
        </w:rPr>
        <w:t>Project Revenues</w:t>
      </w:r>
    </w:p>
    <w:p w14:paraId="5A0D980B" w14:textId="384D2874" w:rsidR="009305D3" w:rsidRPr="0013671F" w:rsidRDefault="009305D3" w:rsidP="009305D3">
      <w:pPr>
        <w:rPr>
          <w:rFonts w:cs="Arial"/>
        </w:rPr>
      </w:pPr>
      <w:r w:rsidRPr="0013671F">
        <w:rPr>
          <w:rFonts w:cs="Arial"/>
        </w:rPr>
        <w:t xml:space="preserve">Fill in the </w:t>
      </w:r>
      <w:r w:rsidR="00F81A84" w:rsidRPr="0013671F">
        <w:rPr>
          <w:rFonts w:cs="Arial"/>
        </w:rPr>
        <w:t>inputs to calculate the revenues</w:t>
      </w:r>
      <w:r w:rsidRPr="0013671F">
        <w:rPr>
          <w:rFonts w:cs="Arial"/>
        </w:rPr>
        <w:t xml:space="preserve"> that stem from your facility operations and sellable end products, site-specific values for inflation and taxes, and information about your project’s financing.</w:t>
      </w:r>
    </w:p>
    <w:p w14:paraId="568ED668" w14:textId="6A6D7665" w:rsidR="009305D3" w:rsidRPr="0013671F" w:rsidRDefault="009305D3" w:rsidP="009305D3">
      <w:pPr>
        <w:rPr>
          <w:rFonts w:cs="Arial"/>
        </w:rPr>
      </w:pPr>
      <w:r w:rsidRPr="0013671F">
        <w:rPr>
          <w:rFonts w:cs="Arial"/>
        </w:rPr>
        <w:lastRenderedPageBreak/>
        <w:t>In the Facility Operations section of the table, the gate fees represent the per ton fee that your facility will charge for each component of the organic waste stream. The “Avoided Landfill Disposal Fee” in cell K</w:t>
      </w:r>
      <w:r w:rsidR="00CE4B13" w:rsidRPr="0013671F">
        <w:rPr>
          <w:rFonts w:cs="Arial"/>
        </w:rPr>
        <w:t>17</w:t>
      </w:r>
      <w:r w:rsidRPr="0013671F">
        <w:rPr>
          <w:rFonts w:cs="Arial"/>
        </w:rPr>
        <w:t xml:space="preserve"> should only be filled in if you would like to include the savings from avoided landfill disposal in your business plan. In order to compare the costs of technologies, leave this value as 0. For the “Transportation Fee” in cell K</w:t>
      </w:r>
      <w:r w:rsidR="00CE4B13" w:rsidRPr="0013671F">
        <w:rPr>
          <w:rFonts w:cs="Arial"/>
        </w:rPr>
        <w:t>19</w:t>
      </w:r>
      <w:r w:rsidRPr="0013671F">
        <w:rPr>
          <w:rFonts w:cs="Arial"/>
        </w:rPr>
        <w:t xml:space="preserve">, input the cost of transporting one ton of waste one kilometer. The transportation fee should take into consideration the cost of fuel, the fuel efficiency of the collection vehicle, and the collection vehicles capacity in tons. </w:t>
      </w:r>
    </w:p>
    <w:p w14:paraId="40C429A6" w14:textId="483369F4" w:rsidR="009305D3" w:rsidRPr="0013671F" w:rsidRDefault="009305D3" w:rsidP="009305D3">
      <w:pPr>
        <w:rPr>
          <w:rFonts w:cs="Arial"/>
        </w:rPr>
      </w:pPr>
      <w:r w:rsidRPr="0013671F">
        <w:rPr>
          <w:rFonts w:cs="Arial"/>
        </w:rPr>
        <w:t xml:space="preserve">The “Inflation Rate – General” in cell </w:t>
      </w:r>
      <w:r w:rsidR="00CE4B13" w:rsidRPr="0013671F">
        <w:rPr>
          <w:rFonts w:cs="Arial"/>
        </w:rPr>
        <w:t>K24</w:t>
      </w:r>
      <w:r w:rsidRPr="0013671F">
        <w:rPr>
          <w:rFonts w:cs="Arial"/>
        </w:rPr>
        <w:t xml:space="preserve"> applies to labor, water, maintenance, land application, and lease cost. The “Inflation Rate – Disposal Fee, Gate Fee” in cell </w:t>
      </w:r>
      <w:r w:rsidR="00CE4B13" w:rsidRPr="0013671F">
        <w:rPr>
          <w:rFonts w:cs="Arial"/>
        </w:rPr>
        <w:t>K25</w:t>
      </w:r>
      <w:r w:rsidRPr="0013671F">
        <w:rPr>
          <w:rFonts w:cs="Arial"/>
        </w:rPr>
        <w:t xml:space="preserve"> applies to the avoided landfill disposal cost and facility processing fee.</w:t>
      </w:r>
    </w:p>
    <w:p w14:paraId="407EA54A" w14:textId="549CC268" w:rsidR="009305D3" w:rsidRPr="0013671F" w:rsidRDefault="00765E85" w:rsidP="009305D3">
      <w:pPr>
        <w:rPr>
          <w:rFonts w:cs="Arial"/>
        </w:rPr>
      </w:pPr>
      <w:r w:rsidRPr="0013671F">
        <w:rPr>
          <w:rFonts w:cs="Arial"/>
        </w:rPr>
        <w:t xml:space="preserve">The Financing section of the table includes default values for the depreciation life of composting equipment and infrastructure (cell K33 and cell K34). If you choose to alter these </w:t>
      </w:r>
      <w:r w:rsidR="00211DE2" w:rsidRPr="0013671F">
        <w:rPr>
          <w:rFonts w:cs="Arial"/>
        </w:rPr>
        <w:t>cells</w:t>
      </w:r>
      <w:r w:rsidRPr="0013671F">
        <w:rPr>
          <w:rFonts w:cs="Arial"/>
        </w:rPr>
        <w:t xml:space="preserve">, you must select a value that is between 5 and 20 years. </w:t>
      </w:r>
      <w:r w:rsidR="009305D3" w:rsidRPr="0013671F">
        <w:rPr>
          <w:rFonts w:cs="Arial"/>
        </w:rPr>
        <w:t xml:space="preserve">Cell </w:t>
      </w:r>
      <w:r w:rsidR="00CE4B13" w:rsidRPr="0013671F">
        <w:rPr>
          <w:rFonts w:cs="Arial"/>
        </w:rPr>
        <w:t>K35</w:t>
      </w:r>
      <w:r w:rsidR="009305D3" w:rsidRPr="0013671F">
        <w:rPr>
          <w:rFonts w:cs="Arial"/>
        </w:rPr>
        <w:t xml:space="preserve"> represents the desired IRR on the equity portion of the investment. If </w:t>
      </w:r>
      <w:r w:rsidR="00211DE2" w:rsidRPr="0013671F">
        <w:rPr>
          <w:rFonts w:cs="Arial"/>
        </w:rPr>
        <w:t>you would like your project to</w:t>
      </w:r>
      <w:r w:rsidR="009305D3" w:rsidRPr="0013671F">
        <w:rPr>
          <w:rFonts w:cs="Arial"/>
        </w:rPr>
        <w:t xml:space="preserve"> break even, you must set the value to a minimum of 0.15 percent in order for the model to return values. Similarly, you must enter a minimum value of 1 for the “Equity Payback” in cell </w:t>
      </w:r>
      <w:r w:rsidR="00CE4B13" w:rsidRPr="0013671F">
        <w:rPr>
          <w:rFonts w:cs="Arial"/>
        </w:rPr>
        <w:t>K36</w:t>
      </w:r>
      <w:r w:rsidR="009305D3" w:rsidRPr="0013671F">
        <w:rPr>
          <w:rFonts w:cs="Arial"/>
        </w:rPr>
        <w:t xml:space="preserve"> for the model to return values.</w:t>
      </w:r>
    </w:p>
    <w:p w14:paraId="5597D582" w14:textId="24FEBC2A" w:rsidR="009305D3" w:rsidRPr="0013671F" w:rsidRDefault="009305D3" w:rsidP="009305D3">
      <w:pPr>
        <w:rPr>
          <w:rFonts w:cs="Arial"/>
        </w:rPr>
      </w:pPr>
      <w:r w:rsidRPr="0013671F">
        <w:rPr>
          <w:rFonts w:cs="Arial"/>
        </w:rPr>
        <w:t xml:space="preserve">The model automatically estimates the Equity IRR. If you would like to estimate the Project IRR, please set the “Percent Equity” in cell </w:t>
      </w:r>
      <w:r w:rsidR="00CE4B13" w:rsidRPr="0013671F">
        <w:rPr>
          <w:rFonts w:cs="Arial"/>
        </w:rPr>
        <w:t>K39</w:t>
      </w:r>
      <w:r w:rsidRPr="0013671F">
        <w:rPr>
          <w:rFonts w:cs="Arial"/>
        </w:rPr>
        <w:t xml:space="preserve"> to 100 percent and the “Percent Debt” in cell </w:t>
      </w:r>
      <w:r w:rsidR="00CE4B13" w:rsidRPr="0013671F">
        <w:rPr>
          <w:rFonts w:cs="Arial"/>
        </w:rPr>
        <w:t>K38</w:t>
      </w:r>
      <w:r w:rsidRPr="0013671F">
        <w:rPr>
          <w:rFonts w:cs="Arial"/>
        </w:rPr>
        <w:t xml:space="preserve"> equal to 0 percent. </w:t>
      </w:r>
    </w:p>
    <w:p w14:paraId="3CE6BCF6" w14:textId="30F30F38" w:rsidR="009305D3" w:rsidRPr="0013671F" w:rsidRDefault="009305D3" w:rsidP="009305D3">
      <w:pPr>
        <w:rPr>
          <w:rFonts w:cs="Arial"/>
        </w:rPr>
      </w:pPr>
      <w:r w:rsidRPr="0013671F">
        <w:rPr>
          <w:rFonts w:cs="Arial"/>
        </w:rPr>
        <w:t xml:space="preserve">For the dropdown menu in cell </w:t>
      </w:r>
      <w:r w:rsidR="00CE4B13" w:rsidRPr="0013671F">
        <w:rPr>
          <w:rFonts w:cs="Arial"/>
        </w:rPr>
        <w:t>K48</w:t>
      </w:r>
      <w:r w:rsidRPr="0013671F">
        <w:rPr>
          <w:rFonts w:cs="Arial"/>
        </w:rPr>
        <w:t xml:space="preserve">, choose “Yes” or “No” depending on whether your project will use debt/equity to finance the purchase of new </w:t>
      </w:r>
      <w:r w:rsidR="00CE4B13" w:rsidRPr="0013671F">
        <w:rPr>
          <w:rFonts w:cs="Arial"/>
        </w:rPr>
        <w:t xml:space="preserve">composing </w:t>
      </w:r>
      <w:r w:rsidRPr="0013671F">
        <w:rPr>
          <w:rFonts w:cs="Arial"/>
        </w:rPr>
        <w:t>equipment. If you select “Yes,” equipment is financed under the same debt/equity, tenor, and interest rate assumptions as the original short-term debt. Select “No” if equipment is purchased outright with available free cash flow.</w:t>
      </w:r>
    </w:p>
    <w:p w14:paraId="4EEBF85C" w14:textId="1D80DCA8" w:rsidR="00BC4281" w:rsidRPr="00274437" w:rsidRDefault="0013671F" w:rsidP="0013671F">
      <w:pPr>
        <w:pStyle w:val="GMIHeading2"/>
      </w:pPr>
      <w:bookmarkStart w:id="41" w:name="_Toc82090400"/>
      <w:r>
        <w:t xml:space="preserve">3.3 </w:t>
      </w:r>
      <w:r w:rsidR="00BC4281" w:rsidRPr="00274437">
        <w:t>Default Values (Yellow Tab)</w:t>
      </w:r>
      <w:bookmarkEnd w:id="41"/>
    </w:p>
    <w:p w14:paraId="3F8C9BA4" w14:textId="77777777" w:rsidR="00CD276E" w:rsidRPr="0013671F" w:rsidRDefault="00CD276E" w:rsidP="00CD276E">
      <w:pPr>
        <w:rPr>
          <w:rFonts w:cs="Arial"/>
        </w:rPr>
      </w:pPr>
      <w:r w:rsidRPr="0013671F">
        <w:rPr>
          <w:rFonts w:cs="Arial"/>
        </w:rPr>
        <w:t>The Default Values tab displays the data used for all the calculations in the OrganEcs tool. It also notes the sources for each data point. You may either use the default data or enter data from locally operating facilities or vendor proposals in the yellow tabs.</w:t>
      </w:r>
    </w:p>
    <w:p w14:paraId="103BB4ED" w14:textId="7D51AEB0" w:rsidR="00CD276E" w:rsidRPr="0013671F" w:rsidRDefault="00CD276E" w:rsidP="00CD276E">
      <w:pPr>
        <w:rPr>
          <w:rFonts w:cs="Arial"/>
        </w:rPr>
      </w:pPr>
      <w:r w:rsidRPr="0013671F">
        <w:rPr>
          <w:rFonts w:cs="Arial"/>
        </w:rPr>
        <w:t xml:space="preserve">The Facility Operations section of the table includes information on the number of operating days per year, the land requirement, and electricity and fuel demand for a proposed facility. It also includes specific information about the anaerobic digestion process, including primary and final screening residues and compost production as a percentage of incoming feedstock. </w:t>
      </w:r>
    </w:p>
    <w:p w14:paraId="5D98B379" w14:textId="5548F40C" w:rsidR="00CD276E" w:rsidRPr="0013671F" w:rsidRDefault="00CD276E" w:rsidP="00CD276E">
      <w:pPr>
        <w:rPr>
          <w:rFonts w:cs="Arial"/>
        </w:rPr>
      </w:pPr>
      <w:r w:rsidRPr="0013671F">
        <w:rPr>
          <w:rFonts w:cs="Arial"/>
        </w:rPr>
        <w:t xml:space="preserve">Under the Digestion System Capex section, the only value that can be altered is the “Capital Cost Contingency” in row 26. </w:t>
      </w:r>
    </w:p>
    <w:p w14:paraId="4138EA98" w14:textId="72C17337" w:rsidR="00CD276E" w:rsidRDefault="00CD276E" w:rsidP="00CD276E">
      <w:pPr>
        <w:rPr>
          <w:rFonts w:cs="Arial"/>
        </w:rPr>
      </w:pPr>
      <w:r w:rsidRPr="0013671F">
        <w:rPr>
          <w:rFonts w:cs="Arial"/>
        </w:rPr>
        <w:t>The All Systems O&amp;M section of the table contains specific information about the operation and maintenance costs. The maintenance and insurance costs are represented as percentages of the total capital expenditure. There is a row for outside services o</w:t>
      </w:r>
      <w:r w:rsidR="00F74D72" w:rsidRPr="0013671F">
        <w:rPr>
          <w:rFonts w:cs="Arial"/>
        </w:rPr>
        <w:t>r</w:t>
      </w:r>
      <w:r w:rsidRPr="0013671F">
        <w:rPr>
          <w:rFonts w:cs="Arial"/>
        </w:rPr>
        <w:t xml:space="preserve"> supplies and for cost contingency, which are represented as percentages of the operation and maintenance cost.</w:t>
      </w:r>
    </w:p>
    <w:p w14:paraId="026DFD18" w14:textId="77777777" w:rsidR="00FB7EA4" w:rsidRPr="0013671F" w:rsidRDefault="00FB7EA4" w:rsidP="00CD276E">
      <w:pPr>
        <w:rPr>
          <w:rFonts w:cs="Arial"/>
        </w:rPr>
      </w:pPr>
    </w:p>
    <w:p w14:paraId="1C0C19C2" w14:textId="316DA4DE" w:rsidR="00BC4281" w:rsidRPr="00274437" w:rsidRDefault="0013671F" w:rsidP="0013671F">
      <w:pPr>
        <w:pStyle w:val="GMIHeading2"/>
      </w:pPr>
      <w:bookmarkStart w:id="42" w:name="_Toc82090401"/>
      <w:r>
        <w:lastRenderedPageBreak/>
        <w:t xml:space="preserve">3.4 </w:t>
      </w:r>
      <w:r w:rsidR="00BC4281" w:rsidRPr="00274437">
        <w:t>Outputs (Black Tab)</w:t>
      </w:r>
      <w:bookmarkEnd w:id="42"/>
    </w:p>
    <w:p w14:paraId="7D907672" w14:textId="77777777" w:rsidR="00D62E4D" w:rsidRPr="0013671F" w:rsidRDefault="00D62E4D" w:rsidP="00D62E4D">
      <w:pPr>
        <w:rPr>
          <w:rFonts w:cs="Arial"/>
        </w:rPr>
      </w:pPr>
      <w:r w:rsidRPr="0013671F">
        <w:rPr>
          <w:rFonts w:cs="Arial"/>
        </w:rPr>
        <w:t xml:space="preserve">This tab presents basic information about your project based on the values inputted in earlier tabs. </w:t>
      </w:r>
    </w:p>
    <w:p w14:paraId="2A1D000E" w14:textId="5B41FBEE" w:rsidR="00D62E4D" w:rsidRPr="0013671F" w:rsidRDefault="00D62E4D" w:rsidP="00D62E4D">
      <w:pPr>
        <w:rPr>
          <w:rFonts w:cs="Arial"/>
        </w:rPr>
      </w:pPr>
      <w:r w:rsidRPr="0013671F">
        <w:rPr>
          <w:rFonts w:cs="Arial"/>
        </w:rPr>
        <w:t xml:space="preserve">The table on the left calculates outputs from the first year of operations for projects that will use composting without forced aeration. The table on the right calculates outputs from the first year of operations for projects that will use composting with forced aeration. All cells will auto-populate based on your inputs and do not need to be altered. </w:t>
      </w:r>
    </w:p>
    <w:p w14:paraId="71DC817D" w14:textId="20F903A7" w:rsidR="00911A06" w:rsidRPr="0013671F" w:rsidRDefault="00D62E4D" w:rsidP="00D62E4D">
      <w:pPr>
        <w:rPr>
          <w:rFonts w:cs="Arial"/>
        </w:rPr>
      </w:pPr>
      <w:r w:rsidRPr="0013671F">
        <w:rPr>
          <w:rFonts w:cs="Arial"/>
        </w:rPr>
        <w:t>Beneath both tables, there are two graphs visualizing the projected revenues, expenses, and gross profit over time. The bar chart compares the total revenues and total expenses per year. The line graph represents the project’s gross profit over time.</w:t>
      </w:r>
    </w:p>
    <w:p w14:paraId="48E984CB" w14:textId="7B668224" w:rsidR="00BC4281" w:rsidRPr="00274437" w:rsidRDefault="0013671F" w:rsidP="0013671F">
      <w:pPr>
        <w:pStyle w:val="GMIHeading2"/>
      </w:pPr>
      <w:bookmarkStart w:id="43" w:name="_Toc82090402"/>
      <w:r>
        <w:t xml:space="preserve">3.5 </w:t>
      </w:r>
      <w:r w:rsidR="00BC4281" w:rsidRPr="00274437">
        <w:t>Organic Waste Treatment Technologies (Gray Tabs)</w:t>
      </w:r>
      <w:bookmarkEnd w:id="43"/>
    </w:p>
    <w:p w14:paraId="3308DE6F" w14:textId="24E7EC4A" w:rsidR="00911A06" w:rsidRPr="0013671F" w:rsidRDefault="00911A06" w:rsidP="00911A06">
      <w:pPr>
        <w:rPr>
          <w:rFonts w:cs="Arial"/>
        </w:rPr>
      </w:pPr>
      <w:r w:rsidRPr="0013671F">
        <w:rPr>
          <w:rFonts w:cs="Arial"/>
        </w:rPr>
        <w:t>There are two gray tabs: one for</w:t>
      </w:r>
      <w:r w:rsidR="00910AE1" w:rsidRPr="0013671F">
        <w:rPr>
          <w:rFonts w:cs="Arial"/>
        </w:rPr>
        <w:t xml:space="preserve"> projects that use</w:t>
      </w:r>
      <w:r w:rsidRPr="0013671F">
        <w:rPr>
          <w:rFonts w:cs="Arial"/>
        </w:rPr>
        <w:t xml:space="preserve"> </w:t>
      </w:r>
      <w:r w:rsidR="00910AE1" w:rsidRPr="0013671F">
        <w:rPr>
          <w:rFonts w:cs="Arial"/>
        </w:rPr>
        <w:t>composting without forced aeration</w:t>
      </w:r>
      <w:r w:rsidRPr="0013671F">
        <w:rPr>
          <w:rFonts w:cs="Arial"/>
        </w:rPr>
        <w:t xml:space="preserve"> and another for </w:t>
      </w:r>
      <w:r w:rsidR="00910AE1" w:rsidRPr="0013671F">
        <w:rPr>
          <w:rFonts w:cs="Arial"/>
        </w:rPr>
        <w:t>projects that use</w:t>
      </w:r>
      <w:r w:rsidRPr="0013671F">
        <w:rPr>
          <w:rFonts w:cs="Arial"/>
        </w:rPr>
        <w:t xml:space="preserve"> </w:t>
      </w:r>
      <w:r w:rsidR="00910AE1" w:rsidRPr="0013671F">
        <w:rPr>
          <w:rFonts w:cs="Arial"/>
        </w:rPr>
        <w:t>composting with forced aeration</w:t>
      </w:r>
      <w:r w:rsidRPr="0013671F">
        <w:rPr>
          <w:rFonts w:cs="Arial"/>
        </w:rPr>
        <w:t>. Both sheets show a hypothetical project’s estimated annual Income Statement and Balance Sheet, which is used to determine the IRR. The IRR is the rate that the modeled project’s cash flows break even with initial investment. IRR is determined by setting the net present value of all cash flows (both positive and negative) from the investment equal to zero. Note</w:t>
      </w:r>
      <w:r w:rsidR="00822BF3" w:rsidRPr="0013671F">
        <w:rPr>
          <w:rFonts w:cs="Arial"/>
        </w:rPr>
        <w:t xml:space="preserve"> that</w:t>
      </w:r>
      <w:r w:rsidRPr="0013671F">
        <w:rPr>
          <w:rFonts w:cs="Arial"/>
        </w:rPr>
        <w:t xml:space="preserve"> this model estimates Equity IRR. To estimate Project IRR, please set total debt on the “7-Economic Inputs” tab equal to zero. </w:t>
      </w:r>
    </w:p>
    <w:p w14:paraId="764A289B" w14:textId="53EB27C3" w:rsidR="00911A06" w:rsidRPr="0013671F" w:rsidRDefault="00911A06" w:rsidP="00822BF3">
      <w:pPr>
        <w:ind w:right="180"/>
        <w:rPr>
          <w:rFonts w:cs="Arial"/>
        </w:rPr>
      </w:pPr>
      <w:r w:rsidRPr="0013671F">
        <w:rPr>
          <w:rFonts w:cs="Arial"/>
        </w:rPr>
        <w:t xml:space="preserve">The sheet is organized by first listing important assumptions based on user inputs from tabs “5-Faculty Inputs,” “6-Waste Inputs,” “7-Economic Inputs,” and “8-Default Values.” Below this are estimated project costs and revenues, debt schedules, interest, depreciation, and other important information. </w:t>
      </w:r>
    </w:p>
    <w:p w14:paraId="7F6156C7" w14:textId="01453ECA" w:rsidR="00F81A84" w:rsidRPr="0013671F" w:rsidRDefault="00F81A84" w:rsidP="004E1E65">
      <w:pPr>
        <w:rPr>
          <w:rFonts w:cs="Arial"/>
        </w:rPr>
      </w:pPr>
      <w:r w:rsidRPr="0013671F">
        <w:rPr>
          <w:rFonts w:cs="Arial"/>
        </w:rPr>
        <w:t xml:space="preserve">These tabs calculate various measures of cash flow, profit, debt payments, </w:t>
      </w:r>
      <w:r w:rsidR="00822BF3" w:rsidRPr="0013671F">
        <w:rPr>
          <w:rFonts w:cs="Arial"/>
        </w:rPr>
        <w:t xml:space="preserve">and </w:t>
      </w:r>
      <w:r w:rsidRPr="0013671F">
        <w:rPr>
          <w:rFonts w:cs="Arial"/>
        </w:rPr>
        <w:t xml:space="preserve">expenses following generally accepted accounting methodologies and standards. The grey tabs show to the user estimated consolidated project profit and loss, depreciation, operating cash flow, and loan payments over the project’s lifespan. </w:t>
      </w:r>
    </w:p>
    <w:p w14:paraId="45F0BC9C" w14:textId="01BFD10C" w:rsidR="00BC4281" w:rsidRPr="00274437" w:rsidRDefault="0013671F" w:rsidP="0013671F">
      <w:pPr>
        <w:pStyle w:val="GMIHeading2"/>
      </w:pPr>
      <w:bookmarkStart w:id="44" w:name="_Toc82090403"/>
      <w:r>
        <w:t xml:space="preserve">3.6 </w:t>
      </w:r>
      <w:r w:rsidR="00BC4281" w:rsidRPr="00274437">
        <w:t>Additional Information (Green Tabs)</w:t>
      </w:r>
      <w:bookmarkEnd w:id="44"/>
    </w:p>
    <w:p w14:paraId="3F807E32" w14:textId="2275962C" w:rsidR="00BC4281" w:rsidRPr="00274437" w:rsidRDefault="0013671F" w:rsidP="0013671F">
      <w:pPr>
        <w:pStyle w:val="GMIHeading3"/>
      </w:pPr>
      <w:bookmarkStart w:id="45" w:name="_Toc82090404"/>
      <w:r>
        <w:t xml:space="preserve">3.6.1 </w:t>
      </w:r>
      <w:r w:rsidR="00BC4281" w:rsidRPr="00274437">
        <w:t xml:space="preserve">Tool </w:t>
      </w:r>
      <w:r w:rsidR="00BC4281" w:rsidRPr="001F476F">
        <w:t>Assumptions</w:t>
      </w:r>
      <w:bookmarkEnd w:id="45"/>
    </w:p>
    <w:p w14:paraId="3F760F9E" w14:textId="77777777" w:rsidR="00BC4281" w:rsidRPr="0013671F" w:rsidRDefault="00BC4281" w:rsidP="00BC4281">
      <w:pPr>
        <w:rPr>
          <w:rFonts w:cs="Arial"/>
        </w:rPr>
      </w:pPr>
      <w:r w:rsidRPr="0013671F">
        <w:rPr>
          <w:rFonts w:cs="Arial"/>
        </w:rPr>
        <w:t xml:space="preserve">The Tool Assumptions tab displays all fixed parameter values for all calculations in the OrganEcs tool. It also notes the sources for each assumption value. </w:t>
      </w:r>
    </w:p>
    <w:p w14:paraId="2F41F6DE" w14:textId="6198B0C2" w:rsidR="00BC4281" w:rsidRPr="00274437" w:rsidRDefault="0013671F" w:rsidP="0013671F">
      <w:pPr>
        <w:pStyle w:val="GMIHeading3"/>
      </w:pPr>
      <w:bookmarkStart w:id="46" w:name="_Toc82090405"/>
      <w:r>
        <w:t xml:space="preserve">3.6.2 </w:t>
      </w:r>
      <w:r w:rsidR="00BC4281" w:rsidRPr="001F476F">
        <w:t>Sources</w:t>
      </w:r>
      <w:bookmarkEnd w:id="46"/>
    </w:p>
    <w:p w14:paraId="10A86DA8" w14:textId="50933BCA" w:rsidR="00BC4281" w:rsidRDefault="00BC4281" w:rsidP="00BC4281">
      <w:pPr>
        <w:rPr>
          <w:rFonts w:cs="Arial"/>
        </w:rPr>
      </w:pPr>
      <w:r w:rsidRPr="0013671F">
        <w:rPr>
          <w:rFonts w:cs="Arial"/>
        </w:rPr>
        <w:t>The Sources tab lists call data sources used to create the OrganEcs tool with one citation per row.</w:t>
      </w:r>
    </w:p>
    <w:p w14:paraId="3B698575" w14:textId="17E4DF6D" w:rsidR="00FB7EA4" w:rsidRDefault="00FB7EA4" w:rsidP="00BC4281">
      <w:pPr>
        <w:rPr>
          <w:rFonts w:cs="Arial"/>
        </w:rPr>
      </w:pPr>
    </w:p>
    <w:p w14:paraId="425C1A4F" w14:textId="626A2E00" w:rsidR="00FB7EA4" w:rsidRDefault="00FB7EA4" w:rsidP="00BC4281">
      <w:pPr>
        <w:rPr>
          <w:rFonts w:cs="Arial"/>
        </w:rPr>
      </w:pPr>
    </w:p>
    <w:p w14:paraId="1E73A605" w14:textId="77777777" w:rsidR="00FB7EA4" w:rsidRPr="0013671F" w:rsidRDefault="00FB7EA4" w:rsidP="00BC4281">
      <w:pPr>
        <w:rPr>
          <w:rFonts w:cs="Arial"/>
        </w:rPr>
      </w:pPr>
    </w:p>
    <w:p w14:paraId="17CC14FF" w14:textId="26A52C4B" w:rsidR="00BC4281" w:rsidRPr="00B54CD7" w:rsidRDefault="0013671F" w:rsidP="0013671F">
      <w:pPr>
        <w:pStyle w:val="GMIHeading1"/>
      </w:pPr>
      <w:bookmarkStart w:id="47" w:name="_Toc82090406"/>
      <w:r w:rsidRPr="00B54CD7">
        <w:lastRenderedPageBreak/>
        <w:t>4</w:t>
      </w:r>
      <w:r w:rsidR="00FB7EA4" w:rsidRPr="00B54CD7">
        <w:t xml:space="preserve"> Limitations</w:t>
      </w:r>
      <w:bookmarkEnd w:id="47"/>
    </w:p>
    <w:p w14:paraId="2D47C6BA" w14:textId="524F5B55" w:rsidR="007D339A" w:rsidRPr="00B54CD7" w:rsidRDefault="0013671F" w:rsidP="0013671F">
      <w:pPr>
        <w:pStyle w:val="GMIHeading2"/>
      </w:pPr>
      <w:bookmarkStart w:id="48" w:name="_Toc82090407"/>
      <w:r w:rsidRPr="00B54CD7">
        <w:t xml:space="preserve">4.1 </w:t>
      </w:r>
      <w:r w:rsidR="00BC4281" w:rsidRPr="00B54CD7">
        <w:t>Anaerobic Digestion Edition</w:t>
      </w:r>
      <w:r w:rsidR="00A4411F" w:rsidRPr="00B54CD7">
        <w:t>: Limitations</w:t>
      </w:r>
      <w:bookmarkEnd w:id="48"/>
    </w:p>
    <w:p w14:paraId="11184078" w14:textId="2923814D" w:rsidR="00257A75" w:rsidRPr="0013671F" w:rsidRDefault="007D339A" w:rsidP="007D339A">
      <w:pPr>
        <w:spacing w:after="0" w:line="240" w:lineRule="auto"/>
        <w:rPr>
          <w:rFonts w:eastAsia="Times New Roman" w:cs="Arial"/>
          <w:color w:val="000000"/>
        </w:rPr>
      </w:pPr>
      <w:r w:rsidRPr="0013671F">
        <w:rPr>
          <w:rFonts w:eastAsia="Times New Roman" w:cs="Arial"/>
          <w:color w:val="000000"/>
        </w:rPr>
        <w:t>First, c</w:t>
      </w:r>
      <w:r w:rsidR="00257A75" w:rsidRPr="0013671F">
        <w:rPr>
          <w:rFonts w:eastAsia="Times New Roman" w:cs="Arial"/>
          <w:color w:val="000000"/>
        </w:rPr>
        <w:t xml:space="preserve">ost estimates are for source-separated organic feedstocks and </w:t>
      </w:r>
      <w:r w:rsidRPr="0013671F">
        <w:rPr>
          <w:rFonts w:eastAsia="Times New Roman" w:cs="Arial"/>
          <w:color w:val="000000"/>
        </w:rPr>
        <w:t xml:space="preserve">thus </w:t>
      </w:r>
      <w:r w:rsidR="00257A75" w:rsidRPr="0013671F">
        <w:rPr>
          <w:rFonts w:eastAsia="Times New Roman" w:cs="Arial"/>
          <w:color w:val="000000"/>
        </w:rPr>
        <w:t>do not include pre-sorting costs or revenues associated with an upstream materials recovery facility. Additional costs associated with establishing source-separated collection are not considered.</w:t>
      </w:r>
    </w:p>
    <w:p w14:paraId="11272E7F" w14:textId="77777777" w:rsidR="007D339A" w:rsidRPr="0013671F" w:rsidRDefault="007D339A" w:rsidP="007D339A">
      <w:pPr>
        <w:spacing w:after="0" w:line="240" w:lineRule="auto"/>
        <w:rPr>
          <w:rFonts w:eastAsia="Times New Roman" w:cs="Arial"/>
          <w:color w:val="000000"/>
        </w:rPr>
      </w:pPr>
    </w:p>
    <w:p w14:paraId="442164E5" w14:textId="24353145" w:rsidR="00257A75" w:rsidRPr="0013671F" w:rsidRDefault="00257A75" w:rsidP="007D339A">
      <w:pPr>
        <w:spacing w:after="0" w:line="240" w:lineRule="auto"/>
        <w:rPr>
          <w:rFonts w:eastAsia="Times New Roman" w:cs="Arial"/>
          <w:color w:val="000000"/>
        </w:rPr>
      </w:pPr>
      <w:r w:rsidRPr="0013671F">
        <w:rPr>
          <w:rFonts w:eastAsia="Times New Roman" w:cs="Arial"/>
          <w:color w:val="000000"/>
        </w:rPr>
        <w:t xml:space="preserve">Facility performance (e.g., electricity and compost production, water demand, wastewater generation, equipment lifespan, </w:t>
      </w:r>
      <w:r w:rsidR="007D339A" w:rsidRPr="0013671F">
        <w:rPr>
          <w:rFonts w:eastAsia="Times New Roman" w:cs="Arial"/>
          <w:color w:val="000000"/>
        </w:rPr>
        <w:t xml:space="preserve">and </w:t>
      </w:r>
      <w:r w:rsidRPr="0013671F">
        <w:rPr>
          <w:rFonts w:eastAsia="Times New Roman" w:cs="Arial"/>
          <w:color w:val="000000"/>
        </w:rPr>
        <w:t>operating days/year) is based on published data for typical facilities and will vary based on a number of factors, including</w:t>
      </w:r>
      <w:r w:rsidR="007D339A" w:rsidRPr="0013671F">
        <w:rPr>
          <w:rFonts w:eastAsia="Times New Roman" w:cs="Arial"/>
        </w:rPr>
        <w:t xml:space="preserve"> </w:t>
      </w:r>
      <w:r w:rsidRPr="0013671F">
        <w:rPr>
          <w:rFonts w:eastAsia="Times New Roman" w:cs="Arial"/>
          <w:color w:val="000000"/>
        </w:rPr>
        <w:t>but not limited to,</w:t>
      </w:r>
      <w:r w:rsidRPr="0013671F">
        <w:rPr>
          <w:rFonts w:eastAsia="Times New Roman" w:cs="Arial"/>
          <w:color w:val="FF0000"/>
        </w:rPr>
        <w:t xml:space="preserve"> </w:t>
      </w:r>
      <w:r w:rsidRPr="0013671F">
        <w:rPr>
          <w:rFonts w:eastAsia="Times New Roman" w:cs="Arial"/>
          <w:color w:val="000000"/>
        </w:rPr>
        <w:t>O&amp;M practices, feedstock characteristics, selected technology, and climate.</w:t>
      </w:r>
    </w:p>
    <w:p w14:paraId="7EC6475A" w14:textId="77777777" w:rsidR="007D339A" w:rsidRPr="0013671F" w:rsidRDefault="007D339A" w:rsidP="007D339A">
      <w:pPr>
        <w:spacing w:after="0" w:line="240" w:lineRule="auto"/>
        <w:rPr>
          <w:rFonts w:eastAsia="Times New Roman" w:cs="Arial"/>
          <w:color w:val="000000"/>
        </w:rPr>
      </w:pPr>
    </w:p>
    <w:p w14:paraId="53E9FB31" w14:textId="29A110B0" w:rsidR="007D339A" w:rsidRDefault="007D339A" w:rsidP="0013671F">
      <w:pPr>
        <w:spacing w:after="0" w:line="240" w:lineRule="auto"/>
        <w:rPr>
          <w:rFonts w:eastAsia="Times New Roman" w:cs="Arial"/>
          <w:color w:val="000000"/>
        </w:rPr>
      </w:pPr>
      <w:r w:rsidRPr="0013671F">
        <w:rPr>
          <w:rFonts w:eastAsia="Times New Roman" w:cs="Arial"/>
          <w:color w:val="000000"/>
        </w:rPr>
        <w:t>Since the</w:t>
      </w:r>
      <w:r w:rsidR="00257A75" w:rsidRPr="0013671F">
        <w:rPr>
          <w:rFonts w:eastAsia="Times New Roman" w:cs="Arial"/>
          <w:color w:val="000000"/>
        </w:rPr>
        <w:t xml:space="preserve"> tool </w:t>
      </w:r>
      <w:r w:rsidRPr="0013671F">
        <w:rPr>
          <w:rFonts w:eastAsia="Times New Roman" w:cs="Arial"/>
          <w:color w:val="000000"/>
        </w:rPr>
        <w:t>has</w:t>
      </w:r>
      <w:r w:rsidR="00257A75" w:rsidRPr="0013671F">
        <w:rPr>
          <w:rFonts w:eastAsia="Times New Roman" w:cs="Arial"/>
          <w:color w:val="000000"/>
        </w:rPr>
        <w:t xml:space="preserve"> minimum waste throughput </w:t>
      </w:r>
      <w:r w:rsidRPr="0013671F">
        <w:rPr>
          <w:rFonts w:eastAsia="Times New Roman" w:cs="Arial"/>
          <w:color w:val="000000"/>
        </w:rPr>
        <w:t xml:space="preserve">requirements </w:t>
      </w:r>
      <w:r w:rsidR="00257A75" w:rsidRPr="0013671F">
        <w:rPr>
          <w:rFonts w:eastAsia="Times New Roman" w:cs="Arial"/>
          <w:color w:val="000000"/>
        </w:rPr>
        <w:t xml:space="preserve">of 5,000 TPY for Dry AD and 20,000 TPY for Wet AD, </w:t>
      </w:r>
      <w:r w:rsidRPr="0013671F">
        <w:rPr>
          <w:rFonts w:eastAsia="Times New Roman" w:cs="Arial"/>
          <w:color w:val="000000"/>
        </w:rPr>
        <w:t>it is</w:t>
      </w:r>
      <w:r w:rsidR="00257A75" w:rsidRPr="0013671F">
        <w:rPr>
          <w:rFonts w:eastAsia="Times New Roman" w:cs="Arial"/>
          <w:color w:val="000000"/>
        </w:rPr>
        <w:t xml:space="preserve"> not suitable for modeling small, decentralized projects.</w:t>
      </w:r>
    </w:p>
    <w:p w14:paraId="230A08CE" w14:textId="77777777" w:rsidR="00FB7EA4" w:rsidRPr="0013671F" w:rsidRDefault="00FB7EA4" w:rsidP="0013671F">
      <w:pPr>
        <w:spacing w:after="0" w:line="240" w:lineRule="auto"/>
        <w:rPr>
          <w:rFonts w:eastAsia="Times New Roman" w:cs="Arial"/>
          <w:color w:val="000000"/>
        </w:rPr>
      </w:pPr>
    </w:p>
    <w:p w14:paraId="5EDE31C4" w14:textId="36906F59" w:rsidR="00BC4281" w:rsidRPr="00274437" w:rsidRDefault="0013671F" w:rsidP="0013671F">
      <w:pPr>
        <w:pStyle w:val="GMIHeading2"/>
      </w:pPr>
      <w:bookmarkStart w:id="49" w:name="_Toc82090408"/>
      <w:r>
        <w:t xml:space="preserve">4.2 </w:t>
      </w:r>
      <w:r w:rsidR="00BC4281" w:rsidRPr="00274437">
        <w:t>Compost Edition</w:t>
      </w:r>
      <w:r w:rsidR="00A4411F" w:rsidRPr="00274437">
        <w:t>: Limitations</w:t>
      </w:r>
      <w:bookmarkEnd w:id="49"/>
      <w:r w:rsidR="00A4411F" w:rsidRPr="00274437">
        <w:t xml:space="preserve"> </w:t>
      </w:r>
    </w:p>
    <w:p w14:paraId="634D1BE5" w14:textId="233CBB05" w:rsidR="004B1E15" w:rsidRPr="0013671F" w:rsidRDefault="004B1E15" w:rsidP="007D444B">
      <w:pPr>
        <w:rPr>
          <w:rFonts w:cs="Arial"/>
        </w:rPr>
      </w:pPr>
      <w:r w:rsidRPr="0013671F">
        <w:rPr>
          <w:rFonts w:cs="Arial"/>
        </w:rPr>
        <w:t>Facility performance (e.g., electricity and compost production, water demand, wastewater generation, equipment lifespan, operating days/year) is based on published data for typical facilities and will vary based on a number of factors, including, but not limited to, O&amp;M practices, feedstock characteristics, selected technology, and climate.</w:t>
      </w:r>
    </w:p>
    <w:p w14:paraId="20341A54" w14:textId="6BDF6DC1" w:rsidR="004B1E15" w:rsidRPr="0013671F" w:rsidRDefault="007D444B" w:rsidP="007D444B">
      <w:pPr>
        <w:rPr>
          <w:rFonts w:cs="Arial"/>
        </w:rPr>
      </w:pPr>
      <w:r w:rsidRPr="0013671F">
        <w:rPr>
          <w:rFonts w:eastAsia="Times New Roman" w:cs="Arial"/>
          <w:color w:val="000000"/>
        </w:rPr>
        <w:t xml:space="preserve">Since the tool has minimum waste throughput requirements </w:t>
      </w:r>
      <w:r w:rsidR="004B1E15" w:rsidRPr="0013671F">
        <w:rPr>
          <w:rFonts w:cs="Arial"/>
        </w:rPr>
        <w:t xml:space="preserve">of 2,000 TPY for Composting Scenarios, </w:t>
      </w:r>
      <w:r w:rsidRPr="0013671F">
        <w:rPr>
          <w:rFonts w:cs="Arial"/>
        </w:rPr>
        <w:t>it is not</w:t>
      </w:r>
      <w:r w:rsidR="004B1E15" w:rsidRPr="0013671F">
        <w:rPr>
          <w:rFonts w:cs="Arial"/>
        </w:rPr>
        <w:t xml:space="preserve"> suitable for modeling small, decentralized projects.</w:t>
      </w:r>
    </w:p>
    <w:p w14:paraId="78591357" w14:textId="73526845" w:rsidR="00C810F4" w:rsidRDefault="00C810F4" w:rsidP="007D444B">
      <w:pPr>
        <w:spacing w:after="0" w:line="240" w:lineRule="auto"/>
        <w:rPr>
          <w:rFonts w:ascii="Arial" w:eastAsia="Times New Roman" w:hAnsi="Arial" w:cs="Arial"/>
          <w:color w:val="000000"/>
        </w:rPr>
      </w:pPr>
    </w:p>
    <w:p w14:paraId="3B771F32" w14:textId="37AC60E7" w:rsidR="00FC649A" w:rsidRDefault="00FC649A" w:rsidP="007D444B">
      <w:pPr>
        <w:spacing w:after="0" w:line="240" w:lineRule="auto"/>
        <w:rPr>
          <w:rFonts w:ascii="Arial" w:eastAsia="Times New Roman" w:hAnsi="Arial" w:cs="Arial"/>
          <w:color w:val="000000"/>
        </w:rPr>
      </w:pPr>
    </w:p>
    <w:p w14:paraId="6B0E4386" w14:textId="57F5DC9A" w:rsidR="00FC649A" w:rsidRDefault="00FC649A" w:rsidP="007D444B">
      <w:pPr>
        <w:spacing w:after="0" w:line="240" w:lineRule="auto"/>
        <w:rPr>
          <w:rFonts w:ascii="Arial" w:eastAsia="Times New Roman" w:hAnsi="Arial" w:cs="Arial"/>
          <w:color w:val="000000"/>
        </w:rPr>
      </w:pPr>
    </w:p>
    <w:p w14:paraId="0E1CDA9D" w14:textId="000B3BDC" w:rsidR="00FC649A" w:rsidRDefault="00FC649A" w:rsidP="007D444B">
      <w:pPr>
        <w:spacing w:after="0" w:line="240" w:lineRule="auto"/>
        <w:rPr>
          <w:rFonts w:ascii="Arial" w:eastAsia="Times New Roman" w:hAnsi="Arial" w:cs="Arial"/>
          <w:color w:val="000000"/>
        </w:rPr>
      </w:pPr>
    </w:p>
    <w:p w14:paraId="4A04100F" w14:textId="17681527" w:rsidR="00FC649A" w:rsidRDefault="00FC649A" w:rsidP="007D444B">
      <w:pPr>
        <w:spacing w:after="0" w:line="240" w:lineRule="auto"/>
        <w:rPr>
          <w:rFonts w:ascii="Arial" w:eastAsia="Times New Roman" w:hAnsi="Arial" w:cs="Arial"/>
          <w:color w:val="000000"/>
        </w:rPr>
      </w:pPr>
    </w:p>
    <w:p w14:paraId="0F004141" w14:textId="6F567EE0" w:rsidR="00FC649A" w:rsidRDefault="00FC649A" w:rsidP="007D444B">
      <w:pPr>
        <w:spacing w:after="0" w:line="240" w:lineRule="auto"/>
        <w:rPr>
          <w:rFonts w:ascii="Arial" w:eastAsia="Times New Roman" w:hAnsi="Arial" w:cs="Arial"/>
          <w:color w:val="000000"/>
        </w:rPr>
      </w:pPr>
    </w:p>
    <w:p w14:paraId="644E5507" w14:textId="47F6102F" w:rsidR="00FC649A" w:rsidRDefault="00FC649A" w:rsidP="007D444B">
      <w:pPr>
        <w:spacing w:after="0" w:line="240" w:lineRule="auto"/>
        <w:rPr>
          <w:rFonts w:ascii="Arial" w:eastAsia="Times New Roman" w:hAnsi="Arial" w:cs="Arial"/>
          <w:color w:val="000000"/>
        </w:rPr>
      </w:pPr>
    </w:p>
    <w:p w14:paraId="45D7AD92" w14:textId="67E99572" w:rsidR="00FC649A" w:rsidRDefault="00FC649A" w:rsidP="007D444B">
      <w:pPr>
        <w:spacing w:after="0" w:line="240" w:lineRule="auto"/>
        <w:rPr>
          <w:rFonts w:ascii="Arial" w:eastAsia="Times New Roman" w:hAnsi="Arial" w:cs="Arial"/>
          <w:color w:val="000000"/>
        </w:rPr>
      </w:pPr>
    </w:p>
    <w:p w14:paraId="071716B3" w14:textId="2C5B1480" w:rsidR="00FC649A" w:rsidRDefault="00FC649A" w:rsidP="007D444B">
      <w:pPr>
        <w:spacing w:after="0" w:line="240" w:lineRule="auto"/>
        <w:rPr>
          <w:rFonts w:ascii="Arial" w:eastAsia="Times New Roman" w:hAnsi="Arial" w:cs="Arial"/>
          <w:color w:val="000000"/>
        </w:rPr>
      </w:pPr>
    </w:p>
    <w:p w14:paraId="3D2E3723" w14:textId="3E698D4D" w:rsidR="00FC649A" w:rsidRDefault="00FC649A" w:rsidP="007D444B">
      <w:pPr>
        <w:spacing w:after="0" w:line="240" w:lineRule="auto"/>
        <w:rPr>
          <w:rFonts w:ascii="Arial" w:eastAsia="Times New Roman" w:hAnsi="Arial" w:cs="Arial"/>
          <w:color w:val="000000"/>
        </w:rPr>
      </w:pPr>
    </w:p>
    <w:p w14:paraId="725E8F06" w14:textId="2B9C0C66" w:rsidR="00FC649A" w:rsidRDefault="00FC649A" w:rsidP="007D444B">
      <w:pPr>
        <w:spacing w:after="0" w:line="240" w:lineRule="auto"/>
        <w:rPr>
          <w:rFonts w:ascii="Arial" w:eastAsia="Times New Roman" w:hAnsi="Arial" w:cs="Arial"/>
          <w:color w:val="000000"/>
        </w:rPr>
      </w:pPr>
    </w:p>
    <w:p w14:paraId="1C946B31" w14:textId="2C80C89C" w:rsidR="00FC649A" w:rsidRDefault="00FC649A" w:rsidP="007D444B">
      <w:pPr>
        <w:spacing w:after="0" w:line="240" w:lineRule="auto"/>
        <w:rPr>
          <w:rFonts w:ascii="Arial" w:eastAsia="Times New Roman" w:hAnsi="Arial" w:cs="Arial"/>
          <w:color w:val="000000"/>
        </w:rPr>
      </w:pPr>
    </w:p>
    <w:p w14:paraId="639CDE9D" w14:textId="641236FB" w:rsidR="00FC649A" w:rsidRDefault="00FC649A" w:rsidP="007D444B">
      <w:pPr>
        <w:spacing w:after="0" w:line="240" w:lineRule="auto"/>
        <w:rPr>
          <w:rFonts w:ascii="Arial" w:eastAsia="Times New Roman" w:hAnsi="Arial" w:cs="Arial"/>
          <w:color w:val="000000"/>
        </w:rPr>
      </w:pPr>
    </w:p>
    <w:p w14:paraId="29D41925" w14:textId="48D571BD" w:rsidR="0013671F" w:rsidRDefault="0013671F" w:rsidP="007D444B">
      <w:pPr>
        <w:spacing w:after="0" w:line="240" w:lineRule="auto"/>
        <w:rPr>
          <w:rFonts w:ascii="Arial" w:eastAsia="Times New Roman" w:hAnsi="Arial" w:cs="Arial"/>
          <w:color w:val="000000"/>
        </w:rPr>
      </w:pPr>
    </w:p>
    <w:p w14:paraId="3F793C92" w14:textId="29158FDF" w:rsidR="0013671F" w:rsidRDefault="0013671F" w:rsidP="007D444B">
      <w:pPr>
        <w:spacing w:after="0" w:line="240" w:lineRule="auto"/>
        <w:rPr>
          <w:rFonts w:ascii="Arial" w:eastAsia="Times New Roman" w:hAnsi="Arial" w:cs="Arial"/>
          <w:color w:val="000000"/>
        </w:rPr>
      </w:pPr>
    </w:p>
    <w:p w14:paraId="3B3D27E4" w14:textId="3430336A" w:rsidR="0013671F" w:rsidRDefault="0013671F" w:rsidP="007D444B">
      <w:pPr>
        <w:spacing w:after="0" w:line="240" w:lineRule="auto"/>
        <w:rPr>
          <w:rFonts w:ascii="Arial" w:eastAsia="Times New Roman" w:hAnsi="Arial" w:cs="Arial"/>
          <w:color w:val="000000"/>
        </w:rPr>
      </w:pPr>
    </w:p>
    <w:p w14:paraId="38313E54" w14:textId="5430E7AB" w:rsidR="0013671F" w:rsidRDefault="0013671F" w:rsidP="007D444B">
      <w:pPr>
        <w:spacing w:after="0" w:line="240" w:lineRule="auto"/>
        <w:rPr>
          <w:rFonts w:ascii="Arial" w:eastAsia="Times New Roman" w:hAnsi="Arial" w:cs="Arial"/>
          <w:color w:val="000000"/>
        </w:rPr>
      </w:pPr>
    </w:p>
    <w:p w14:paraId="73346C13" w14:textId="77777777" w:rsidR="0013671F" w:rsidRDefault="0013671F" w:rsidP="007D444B">
      <w:pPr>
        <w:spacing w:after="0" w:line="240" w:lineRule="auto"/>
        <w:rPr>
          <w:rFonts w:ascii="Arial" w:eastAsia="Times New Roman" w:hAnsi="Arial" w:cs="Arial"/>
          <w:color w:val="000000"/>
        </w:rPr>
      </w:pPr>
    </w:p>
    <w:p w14:paraId="4F364525" w14:textId="78722DFE" w:rsidR="00FC649A" w:rsidRDefault="00FC649A" w:rsidP="007D444B">
      <w:pPr>
        <w:spacing w:after="0" w:line="240" w:lineRule="auto"/>
        <w:rPr>
          <w:rFonts w:ascii="Arial" w:eastAsia="Times New Roman" w:hAnsi="Arial" w:cs="Arial"/>
          <w:color w:val="000000"/>
        </w:rPr>
      </w:pPr>
    </w:p>
    <w:p w14:paraId="4F5B571E" w14:textId="3C55C40B" w:rsidR="00FC649A" w:rsidRDefault="00FC649A" w:rsidP="007D444B">
      <w:pPr>
        <w:spacing w:after="0" w:line="240" w:lineRule="auto"/>
        <w:rPr>
          <w:rFonts w:ascii="Arial" w:eastAsia="Times New Roman" w:hAnsi="Arial" w:cs="Arial"/>
          <w:color w:val="000000"/>
        </w:rPr>
      </w:pPr>
    </w:p>
    <w:p w14:paraId="414EAD64" w14:textId="57A7F7AB" w:rsidR="00FC649A" w:rsidRDefault="00FC649A" w:rsidP="007D444B">
      <w:pPr>
        <w:spacing w:after="0" w:line="240" w:lineRule="auto"/>
        <w:rPr>
          <w:rFonts w:ascii="Arial" w:eastAsia="Times New Roman" w:hAnsi="Arial" w:cs="Arial"/>
          <w:color w:val="000000"/>
        </w:rPr>
      </w:pPr>
    </w:p>
    <w:p w14:paraId="03CA1EE2" w14:textId="77777777" w:rsidR="00FC649A" w:rsidRDefault="00FC649A" w:rsidP="007D444B">
      <w:pPr>
        <w:spacing w:after="0" w:line="240" w:lineRule="auto"/>
        <w:rPr>
          <w:rFonts w:ascii="Arial" w:eastAsia="Times New Roman" w:hAnsi="Arial" w:cs="Arial"/>
          <w:color w:val="000000"/>
        </w:rPr>
      </w:pPr>
    </w:p>
    <w:p w14:paraId="5AFE4237" w14:textId="5B48A9FB" w:rsidR="00291F70" w:rsidRPr="00274437" w:rsidRDefault="0013671F" w:rsidP="0013671F">
      <w:pPr>
        <w:pStyle w:val="GMIHeading1"/>
      </w:pPr>
      <w:bookmarkStart w:id="50" w:name="_Toc82090409"/>
      <w:r>
        <w:lastRenderedPageBreak/>
        <w:t xml:space="preserve">5 </w:t>
      </w:r>
      <w:r w:rsidR="00FB7EA4">
        <w:t>Bibliography</w:t>
      </w:r>
      <w:bookmarkEnd w:id="50"/>
    </w:p>
    <w:p w14:paraId="5443712D" w14:textId="72E1E54F" w:rsidR="00291F70" w:rsidRPr="0013671F" w:rsidRDefault="00CD2DD4" w:rsidP="00CD2DD4">
      <w:r w:rsidRPr="0013671F">
        <w:t xml:space="preserve">Angelonidi, Eleni and Stephen R. Smith. </w:t>
      </w:r>
      <w:r w:rsidR="00BA6733" w:rsidRPr="0013671F">
        <w:t>“</w:t>
      </w:r>
      <w:r w:rsidRPr="0013671F">
        <w:t>A Comparison of Wet and Dry Anaerobic Digestion Processes for the Treatment of Municipal Solid Waste and Food Waste.</w:t>
      </w:r>
      <w:r w:rsidR="00BA6733" w:rsidRPr="0013671F">
        <w:t>”</w:t>
      </w:r>
      <w:r w:rsidRPr="0013671F">
        <w:t xml:space="preserve"> Water and Environment Journal 29, 2015, pp. 549-557.</w:t>
      </w:r>
    </w:p>
    <w:p w14:paraId="56683EC7" w14:textId="7C737D79" w:rsidR="000D54E1" w:rsidRPr="0013671F" w:rsidRDefault="000D54E1" w:rsidP="00E21676">
      <w:r w:rsidRPr="0013671F">
        <w:t xml:space="preserve">Agri-Food and Biosciences Institute, Peter Frost and Stephen Gilkinson. August 2010. </w:t>
      </w:r>
      <w:r w:rsidR="00BA6733" w:rsidRPr="0013671F">
        <w:t>“</w:t>
      </w:r>
      <w:r w:rsidR="00E21676" w:rsidRPr="0013671F">
        <w:t xml:space="preserve">First 18 Month Performance Summary for Anaerobic Digestion of Dairy Cow Slurry at </w:t>
      </w:r>
      <w:r w:rsidRPr="0013671F">
        <w:t>AFBI HILLSBOROUGH.</w:t>
      </w:r>
      <w:r w:rsidR="00BA6733" w:rsidRPr="0013671F">
        <w:t>”</w:t>
      </w:r>
    </w:p>
    <w:p w14:paraId="16915F49" w14:textId="6D62C5EF" w:rsidR="00CD2DD4" w:rsidRPr="0013671F" w:rsidRDefault="00CD2DD4" w:rsidP="00CD2DD4">
      <w:r w:rsidRPr="0013671F">
        <w:t xml:space="preserve">Bioferm Energy Systems. </w:t>
      </w:r>
      <w:r w:rsidR="00BA6733" w:rsidRPr="0013671F">
        <w:t>“</w:t>
      </w:r>
      <w:r w:rsidRPr="0013671F">
        <w:t>Anaerobic Digestion FAQ.</w:t>
      </w:r>
      <w:r w:rsidR="00E21676" w:rsidRPr="0013671F">
        <w:t xml:space="preserve"> ”</w:t>
      </w:r>
      <w:r w:rsidRPr="0013671F">
        <w:t xml:space="preserve"> </w:t>
      </w:r>
      <w:r w:rsidR="008D3292" w:rsidRPr="0013671F">
        <w:t>n</w:t>
      </w:r>
      <w:r w:rsidRPr="0013671F">
        <w:t>.d. Accessed August 2014.</w:t>
      </w:r>
    </w:p>
    <w:p w14:paraId="52CC2586" w14:textId="01504E79" w:rsidR="00CD2DD4" w:rsidRPr="0013671F" w:rsidRDefault="00CD2DD4" w:rsidP="00CD2DD4">
      <w:r w:rsidRPr="0013671F">
        <w:t xml:space="preserve">Blair, Charlie. </w:t>
      </w:r>
      <w:r w:rsidR="00E21676" w:rsidRPr="0013671F">
        <w:t>“</w:t>
      </w:r>
      <w:r w:rsidRPr="0013671F">
        <w:t>Energy from Waste Potential in Scotland.</w:t>
      </w:r>
      <w:r w:rsidR="00E21676" w:rsidRPr="0013671F">
        <w:t>”</w:t>
      </w:r>
      <w:r w:rsidRPr="0013671F">
        <w:t xml:space="preserve"> January 2010.  </w:t>
      </w:r>
      <w:r w:rsidR="00A16A44" w:rsidRPr="0013671F">
        <w:t>https://www.webarchive.org.uk/wayback/archive/3000/https://www.gov.scot/resource/doc/311011/0098129.pdf</w:t>
      </w:r>
      <w:r w:rsidRPr="0013671F">
        <w:t>. Accessed December 2014.</w:t>
      </w:r>
    </w:p>
    <w:p w14:paraId="29444A37" w14:textId="558731E0" w:rsidR="00CD2DD4" w:rsidRPr="0013671F" w:rsidRDefault="00CD2DD4" w:rsidP="00CD2DD4">
      <w:r w:rsidRPr="0013671F">
        <w:t xml:space="preserve">Chastain, John P. and James J. Camberato. </w:t>
      </w:r>
      <w:r w:rsidR="00E21676" w:rsidRPr="0013671F">
        <w:t>“</w:t>
      </w:r>
      <w:r w:rsidRPr="0013671F">
        <w:t>Dairy Manure Production and Nutrient Content.</w:t>
      </w:r>
      <w:r w:rsidR="00E21676" w:rsidRPr="0013671F">
        <w:t>”</w:t>
      </w:r>
      <w:r w:rsidRPr="0013671F">
        <w:t xml:space="preserve"> Confined Animal Manure Manager Certification Program Manual: Dairy Version. 2004.</w:t>
      </w:r>
    </w:p>
    <w:p w14:paraId="16948C19" w14:textId="6FE58221" w:rsidR="00CD2DD4" w:rsidRPr="0013671F" w:rsidRDefault="00CD2DD4" w:rsidP="00CD2DD4">
      <w:r w:rsidRPr="0013671F">
        <w:t xml:space="preserve">Crowe, Matt, Kirsty Nolan, Caitríona Collins, Gerry Carty, Brian Donlon, Merete Kristoffersen, Morten Brøgger, Morten Carlsbæk, Reto Michael Hummelshøj, and Claus Dahl Thomsen. </w:t>
      </w:r>
      <w:r w:rsidR="00E21676" w:rsidRPr="0013671F">
        <w:t>“</w:t>
      </w:r>
      <w:r w:rsidRPr="0013671F">
        <w:t>Biodegradable Municipal Waste Management in Europe Part 3: Technology and Market Issues.</w:t>
      </w:r>
      <w:r w:rsidR="00E21676" w:rsidRPr="0013671F">
        <w:t>”</w:t>
      </w:r>
      <w:r w:rsidRPr="0013671F">
        <w:t xml:space="preserve"> European Topic Centre on Waste. January 2002. </w:t>
      </w:r>
      <w:hyperlink r:id="rId14" w:history="1">
        <w:r w:rsidR="007C4E35" w:rsidRPr="0013671F">
          <w:rPr>
            <w:rStyle w:val="Hyperlink"/>
            <w:rFonts w:cs="Arial"/>
          </w:rPr>
          <w:t>https://www.eea.europa.eu/publications/topic_report_2001_15_Part3</w:t>
        </w:r>
      </w:hyperlink>
      <w:r w:rsidR="007C4E35" w:rsidRPr="0013671F">
        <w:rPr>
          <w:rFonts w:cs="Arial"/>
        </w:rPr>
        <w:t xml:space="preserve">. </w:t>
      </w:r>
      <w:r w:rsidRPr="0013671F">
        <w:rPr>
          <w:rFonts w:cs="Arial"/>
        </w:rPr>
        <w:t>Accessed July 2014</w:t>
      </w:r>
      <w:r w:rsidRPr="0013671F">
        <w:t>.</w:t>
      </w:r>
    </w:p>
    <w:p w14:paraId="2E486EFF" w14:textId="4546950C" w:rsidR="00CD2DD4" w:rsidRPr="0013671F" w:rsidRDefault="00CD2DD4" w:rsidP="00CD2DD4">
      <w:r w:rsidRPr="0013671F">
        <w:t xml:space="preserve">Endeco Spa. </w:t>
      </w:r>
      <w:r w:rsidR="00E21676" w:rsidRPr="0013671F">
        <w:t>“</w:t>
      </w:r>
      <w:r w:rsidRPr="0013671F">
        <w:t>Anaerobic Processing Principles &amp; Technologies.</w:t>
      </w:r>
      <w:r w:rsidR="00E21676" w:rsidRPr="0013671F">
        <w:t>”</w:t>
      </w:r>
      <w:r w:rsidRPr="0013671F">
        <w:t xml:space="preserve"> February 2017. </w:t>
      </w:r>
      <w:hyperlink r:id="rId15" w:history="1">
        <w:r w:rsidR="00EE0DC3" w:rsidRPr="0013671F">
          <w:rPr>
            <w:rStyle w:val="Hyperlink"/>
          </w:rPr>
          <w:t>https://www.endeco.it/wp/wp-content/uploads/2017/02/CatalogueAnaerobicDigestionPrinciples.pdf</w:t>
        </w:r>
      </w:hyperlink>
      <w:r w:rsidR="00EE0DC3" w:rsidRPr="0013671F">
        <w:t>.</w:t>
      </w:r>
      <w:r w:rsidRPr="0013671F">
        <w:t xml:space="preserve"> Accessed June 2021. </w:t>
      </w:r>
    </w:p>
    <w:p w14:paraId="16F46816" w14:textId="0EC579A7" w:rsidR="000D54E1" w:rsidRPr="0013671F" w:rsidRDefault="000D54E1" w:rsidP="00CD2DD4">
      <w:r w:rsidRPr="0013671F">
        <w:t xml:space="preserve">Eunomia Research &amp; Consulting. </w:t>
      </w:r>
      <w:r w:rsidR="00E21676" w:rsidRPr="0013671F">
        <w:t>“</w:t>
      </w:r>
      <w:r w:rsidRPr="0013671F">
        <w:t>Annexes.</w:t>
      </w:r>
      <w:r w:rsidR="00E21676" w:rsidRPr="0013671F">
        <w:t>”</w:t>
      </w:r>
      <w:r w:rsidRPr="0013671F">
        <w:t xml:space="preserve"> Costs for Municipal Waste Management in the EU. European Commission, 2002. Web. </w:t>
      </w:r>
    </w:p>
    <w:p w14:paraId="11B6577F" w14:textId="3D1B59A8" w:rsidR="00CD2DD4" w:rsidRPr="0013671F" w:rsidRDefault="00CD2DD4" w:rsidP="00CD2DD4">
      <w:r w:rsidRPr="0013671F">
        <w:t xml:space="preserve">Fachagentur Nachwachsende Rohstoffe (FNR). Biogas: An Introduction. 2013. </w:t>
      </w:r>
      <w:r w:rsidR="00A16A44" w:rsidRPr="0013671F">
        <w:t>https://www.fnr.de/fileadmin/Projekte/2021/Mediathek/brosch.biogas-2013-en-web-pdf.pdf.</w:t>
      </w:r>
    </w:p>
    <w:p w14:paraId="69D41ECB" w14:textId="576304DB" w:rsidR="00CD2DD4" w:rsidRPr="0013671F" w:rsidRDefault="00CD2DD4" w:rsidP="00CD2DD4">
      <w:r w:rsidRPr="0013671F">
        <w:t xml:space="preserve">Frost, Peter and Stephen Gilkinson. </w:t>
      </w:r>
      <w:r w:rsidR="00E21676" w:rsidRPr="0013671F">
        <w:t>“</w:t>
      </w:r>
      <w:r w:rsidR="008D3292" w:rsidRPr="0013671F">
        <w:t>First 18 Month Performance Summary for Anaerobic Digestion of Dairy Cow Slurry at AFBI Hillsborough</w:t>
      </w:r>
      <w:r w:rsidRPr="0013671F">
        <w:t>.</w:t>
      </w:r>
      <w:r w:rsidR="00E21676" w:rsidRPr="0013671F">
        <w:t>”</w:t>
      </w:r>
      <w:r w:rsidRPr="0013671F">
        <w:t xml:space="preserve"> Agri-Food and Biosciences Institute. August 2010.</w:t>
      </w:r>
    </w:p>
    <w:p w14:paraId="51F72949" w14:textId="21630450" w:rsidR="00CD2DD4" w:rsidRPr="0013671F" w:rsidRDefault="00CD2DD4" w:rsidP="00CD2DD4">
      <w:r w:rsidRPr="0013671F">
        <w:t xml:space="preserve">Goldstein, Nora. </w:t>
      </w:r>
      <w:r w:rsidR="00E21676" w:rsidRPr="0013671F">
        <w:t>“</w:t>
      </w:r>
      <w:r w:rsidRPr="0013671F">
        <w:t>High Solids Anaerobic Digestion and Composting in San Jose.</w:t>
      </w:r>
      <w:r w:rsidR="00E21676" w:rsidRPr="0013671F">
        <w:t>”</w:t>
      </w:r>
      <w:r w:rsidRPr="0013671F">
        <w:t xml:space="preserve"> Biocycle Magazine, March/April 2014, </w:t>
      </w:r>
      <w:hyperlink r:id="rId16" w:history="1">
        <w:r w:rsidR="00EE0DC3" w:rsidRPr="0013671F">
          <w:rPr>
            <w:rStyle w:val="Hyperlink"/>
          </w:rPr>
          <w:t>https://www.biocycle.net/2014/03/28/high-solids-anaerobic-digestion-composting-in-san-jose/</w:t>
        </w:r>
      </w:hyperlink>
      <w:r w:rsidR="00EE0DC3" w:rsidRPr="0013671F">
        <w:t>.</w:t>
      </w:r>
      <w:r w:rsidRPr="0013671F">
        <w:t xml:space="preserve"> Accessed October 2014.</w:t>
      </w:r>
    </w:p>
    <w:p w14:paraId="49D14214" w14:textId="23F1A20A" w:rsidR="00A27E80" w:rsidRPr="0013671F" w:rsidRDefault="00A27E80" w:rsidP="00CD2DD4">
      <w:r w:rsidRPr="0013671F">
        <w:t xml:space="preserve">Italian Composting and Biogas Association. Biogas e Compost: da rifiuti organici selezionati. October 2011. </w:t>
      </w:r>
      <w:hyperlink r:id="rId17" w:history="1">
        <w:r w:rsidR="00EE0DC3" w:rsidRPr="0013671F">
          <w:rPr>
            <w:rStyle w:val="Hyperlink"/>
          </w:rPr>
          <w:t>https://www.compost.it/attachments/604_CIC_biogas_e_compost_2011_definitivo.pdf</w:t>
        </w:r>
      </w:hyperlink>
      <w:r w:rsidR="00EE0DC3" w:rsidRPr="0013671F">
        <w:t>.</w:t>
      </w:r>
    </w:p>
    <w:p w14:paraId="7B855F2D" w14:textId="79838968" w:rsidR="00A27E80" w:rsidRPr="0013671F" w:rsidRDefault="00A27E80" w:rsidP="00CD2DD4">
      <w:r w:rsidRPr="0013671F">
        <w:t>Italian Composting and Biogas Association. July 2014.</w:t>
      </w:r>
    </w:p>
    <w:p w14:paraId="463B4A33" w14:textId="6F6025BD" w:rsidR="00A27E80" w:rsidRPr="0013671F" w:rsidRDefault="00A27E80" w:rsidP="00CD2DD4">
      <w:r w:rsidRPr="0013671F">
        <w:t xml:space="preserve">Lansing, Stephanie, Raúl Botero Botero, and Jay F. Martin. </w:t>
      </w:r>
      <w:r w:rsidR="00E21676" w:rsidRPr="0013671F">
        <w:t>“</w:t>
      </w:r>
      <w:r w:rsidRPr="0013671F">
        <w:t>Waste treatment and biogas quality in small-scale agricultural digesters.</w:t>
      </w:r>
      <w:r w:rsidR="00E21676" w:rsidRPr="0013671F">
        <w:t>”</w:t>
      </w:r>
      <w:r w:rsidRPr="0013671F">
        <w:t xml:space="preserve"> Bioresource Technology, 99, 13, 2008, pp. 5881-5890.</w:t>
      </w:r>
    </w:p>
    <w:p w14:paraId="181BE4B8" w14:textId="5D4B5799" w:rsidR="00A27E80" w:rsidRPr="0013671F" w:rsidRDefault="00A27E80" w:rsidP="00CD2DD4">
      <w:r w:rsidRPr="0013671F">
        <w:lastRenderedPageBreak/>
        <w:t xml:space="preserve">Levis, James W. and Morton A. Barlaz. </w:t>
      </w:r>
      <w:r w:rsidRPr="0013671F">
        <w:rPr>
          <w:lang w:val="fr-FR"/>
        </w:rPr>
        <w:t xml:space="preserve">Anaerobic Digestion Process Model Documentation. </w:t>
      </w:r>
      <w:r w:rsidRPr="0013671F">
        <w:t>North Carolina State University. September 2013. Accessed September 2014.</w:t>
      </w:r>
    </w:p>
    <w:p w14:paraId="5D299D68" w14:textId="0A16280A" w:rsidR="00A27E80" w:rsidRPr="0013671F" w:rsidRDefault="00A27E80" w:rsidP="00CD2DD4">
      <w:r w:rsidRPr="0013671F">
        <w:t>Levis, James W. and Morton A. Barlaz. Composting Process Model Documentation. North Carolina State University. November 2013.</w:t>
      </w:r>
      <w:r w:rsidR="0088201D" w:rsidRPr="0013671F">
        <w:t xml:space="preserve"> </w:t>
      </w:r>
      <w:r w:rsidRPr="0013671F">
        <w:t>Accessed September 2014.</w:t>
      </w:r>
    </w:p>
    <w:p w14:paraId="66E87750" w14:textId="0F0ABABD" w:rsidR="00A27E80" w:rsidRPr="0013671F" w:rsidRDefault="00A27E80" w:rsidP="00CD2DD4">
      <w:r w:rsidRPr="0013671F">
        <w:t xml:space="preserve">Liebrand, Carolyn B. and K. Charles Ling. Cooperative Approaches for Implementation of Dairy Manure Digesters. USDA Rural Development Research Report 217. 2009. </w:t>
      </w:r>
      <w:r w:rsidR="007B53FD" w:rsidRPr="0013671F">
        <w:t>https://naldc.nal.usda.gov/catalog/35107</w:t>
      </w:r>
      <w:r w:rsidRPr="0013671F">
        <w:t>.</w:t>
      </w:r>
    </w:p>
    <w:p w14:paraId="181D71D3" w14:textId="6DA5A1E4" w:rsidR="00A27E80" w:rsidRPr="0013671F" w:rsidRDefault="00A27E80" w:rsidP="00CD2DD4">
      <w:r w:rsidRPr="0013671F">
        <w:t xml:space="preserve">Logan, Mohanakrishnan and Chettiyappan Visvanathan. </w:t>
      </w:r>
      <w:r w:rsidR="00E21676" w:rsidRPr="0013671F">
        <w:t>“</w:t>
      </w:r>
      <w:r w:rsidRPr="0013671F">
        <w:t>Management strategies for anaerobic digestate of organic fraction of municipal solid waste: Current status and future prospects.</w:t>
      </w:r>
      <w:r w:rsidR="00E21676" w:rsidRPr="0013671F">
        <w:t>”</w:t>
      </w:r>
      <w:r w:rsidRPr="0013671F">
        <w:t xml:space="preserve"> Waste Management &amp; Research: The Journal for a Sustainability Circular Economy 37, 1, 2019, pp. 27-39.</w:t>
      </w:r>
    </w:p>
    <w:p w14:paraId="3A16FE2E" w14:textId="251BC378" w:rsidR="00A27E80" w:rsidRPr="0013671F" w:rsidRDefault="00A27E80" w:rsidP="00CD2DD4">
      <w:r w:rsidRPr="0013671F">
        <w:t>Mata-Alvarez, J. Biomethanization of the organic fraction of municipal solid wastes. IWA Publishing. 2003. Accessed October 2014.</w:t>
      </w:r>
    </w:p>
    <w:p w14:paraId="35268B77" w14:textId="7CBD8DB6" w:rsidR="00A27E80" w:rsidRPr="0013671F" w:rsidRDefault="00A27E80" w:rsidP="00CD2DD4">
      <w:r w:rsidRPr="0013671F">
        <w:t>Midwest Plan Service. Livestock Waste Facilities Handbook.</w:t>
      </w:r>
      <w:r w:rsidR="008D3292" w:rsidRPr="0013671F">
        <w:t xml:space="preserve"> </w:t>
      </w:r>
      <w:r w:rsidRPr="0013671F">
        <w:t>1985.</w:t>
      </w:r>
    </w:p>
    <w:p w14:paraId="3D20B6DE" w14:textId="60AB1032" w:rsidR="00A27E80" w:rsidRPr="0013671F" w:rsidRDefault="00A27E80" w:rsidP="00CD2DD4">
      <w:r w:rsidRPr="0013671F">
        <w:t xml:space="preserve">Moriarty, Kristi. </w:t>
      </w:r>
      <w:r w:rsidR="00E21676" w:rsidRPr="0013671F">
        <w:t>“</w:t>
      </w:r>
      <w:r w:rsidRPr="0013671F">
        <w:t>Feasibility Study of Anaerobic Digestion of Food Waste in St. Bernard, Louisiana: A Study Prepared in Partnership with the Environmental Protection Agency for the RE-Powering America’s Land Initiative: Siting Renewable Energy on Potentially Contaminated Land and Mine Sites.</w:t>
      </w:r>
      <w:r w:rsidR="00E21676" w:rsidRPr="0013671F">
        <w:t>”</w:t>
      </w:r>
      <w:r w:rsidRPr="0013671F">
        <w:t xml:space="preserve"> National Renewable Energy Laboratory, 2013. Accessed Oct 2014.</w:t>
      </w:r>
    </w:p>
    <w:p w14:paraId="0E774678" w14:textId="29AA937E" w:rsidR="00A27E80" w:rsidRPr="0013671F" w:rsidRDefault="00A27E80" w:rsidP="00CD2DD4">
      <w:r w:rsidRPr="0013671F">
        <w:t xml:space="preserve">NNFC. The Official Information Portal on Anaerobic Digestion. </w:t>
      </w:r>
      <w:r w:rsidR="0033016A" w:rsidRPr="0013671F">
        <w:t>n</w:t>
      </w:r>
      <w:r w:rsidRPr="0013671F">
        <w:t xml:space="preserve">.d. </w:t>
      </w:r>
      <w:hyperlink r:id="rId18" w:anchor=":~:text=Digestate%20is%20a%20nutrient%2Drich,was%20fed%20into%20the%20digester" w:history="1">
        <w:r w:rsidR="00EE0DC3" w:rsidRPr="0013671F">
          <w:rPr>
            <w:rStyle w:val="Hyperlink"/>
          </w:rPr>
          <w:t>https://www.biogas-info.co.uk/about/digestate/#:~:text=Digestate%20is%20a%20nutrient%2Drich,was%20fed%20into%20the%20digester</w:t>
        </w:r>
      </w:hyperlink>
      <w:r w:rsidR="00EE0DC3" w:rsidRPr="0013671F">
        <w:t>.</w:t>
      </w:r>
      <w:r w:rsidRPr="0013671F">
        <w:t xml:space="preserve"> Accessed June 2021.</w:t>
      </w:r>
    </w:p>
    <w:p w14:paraId="7EE61064" w14:textId="0FE91068" w:rsidR="00A27E80" w:rsidRPr="0013671F" w:rsidRDefault="00A27E80" w:rsidP="00CD2DD4">
      <w:r w:rsidRPr="0013671F">
        <w:t xml:space="preserve">Pier for California Energy Commission Report. </w:t>
      </w:r>
      <w:r w:rsidR="00E21676" w:rsidRPr="0013671F">
        <w:t>“</w:t>
      </w:r>
      <w:r w:rsidRPr="0013671F">
        <w:t>Characterization of Food and Green Wastes As Feedstock for Anaerobic Digesters.</w:t>
      </w:r>
      <w:r w:rsidR="00E21676" w:rsidRPr="0013671F">
        <w:t>”</w:t>
      </w:r>
      <w:r w:rsidRPr="0013671F">
        <w:t xml:space="preserve"> July 2005. Accessed November 2014.</w:t>
      </w:r>
    </w:p>
    <w:p w14:paraId="7AC3EF75" w14:textId="7B273221" w:rsidR="00A27E80" w:rsidRPr="0013671F" w:rsidRDefault="00A27E80" w:rsidP="00CD2DD4">
      <w:r w:rsidRPr="0013671F">
        <w:t xml:space="preserve">Rigby, Hannah and Stephen R. Smith (WRAP). </w:t>
      </w:r>
      <w:r w:rsidR="00E21676" w:rsidRPr="0013671F">
        <w:t>“</w:t>
      </w:r>
      <w:r w:rsidRPr="0013671F">
        <w:t>New Markets for Digestate from Anaerobic Digestion.</w:t>
      </w:r>
      <w:r w:rsidR="00E21676" w:rsidRPr="0013671F">
        <w:t>”</w:t>
      </w:r>
      <w:r w:rsidRPr="0013671F">
        <w:t xml:space="preserve"> August 2011. </w:t>
      </w:r>
      <w:r w:rsidR="00220A22" w:rsidRPr="0013671F">
        <w:t>https://archive.wrap.org.uk/sites/files/wrap/New_Markets_for_AD_WRAP_format_Final_v2.c6779ccd.11341.pdf</w:t>
      </w:r>
      <w:r w:rsidRPr="0013671F">
        <w:t>. Accessed November 2014.</w:t>
      </w:r>
    </w:p>
    <w:p w14:paraId="5B2FFE64" w14:textId="0ABC6F8C" w:rsidR="00A27E80" w:rsidRPr="0013671F" w:rsidRDefault="00A27E80" w:rsidP="00CD2DD4">
      <w:r w:rsidRPr="0013671F">
        <w:t xml:space="preserve">Rogroff, Clark. </w:t>
      </w:r>
      <w:r w:rsidR="00220A22" w:rsidRPr="0013671F">
        <w:t>“TFC Recycling: Going the Extra Mile.” Waste Advantage Magazine 5, 7, 2014, pp. 21-25. https://www.scsengineers.com/wp-content/uploads/2015/03/Rogoff_Clark_Anaerobic_Digestion_WASTEADVANTAGE.pdf</w:t>
      </w:r>
      <w:r w:rsidRPr="0013671F">
        <w:t>. Accessed November 2014.</w:t>
      </w:r>
    </w:p>
    <w:p w14:paraId="70D2250B" w14:textId="40154DFB" w:rsidR="00A27E80" w:rsidRPr="0013671F" w:rsidRDefault="00A27E80" w:rsidP="00CD2DD4">
      <w:r w:rsidRPr="0013671F">
        <w:t>Rynk, R., Maarten va</w:t>
      </w:r>
      <w:r w:rsidR="008D3292" w:rsidRPr="0013671F">
        <w:t>n</w:t>
      </w:r>
      <w:r w:rsidRPr="0013671F">
        <w:t xml:space="preserve"> de Kamp, George B. Willson, Mark E. Singley, Tom L. Richard, John J. Kolega, Francis R. Gouin, Lucien Laliberty, Jr., David Kay, Dennis W. Murphy, Harry A.J. Hotink, and William F. Brinton. On-Farm Composting Handbook. Ithaca: Northeast Regional Agricultural Engineering Service, 1992. </w:t>
      </w:r>
      <w:hyperlink r:id="rId19" w:history="1">
        <w:r w:rsidR="00155402" w:rsidRPr="0013671F">
          <w:rPr>
            <w:rStyle w:val="Hyperlink"/>
          </w:rPr>
          <w:t>https://campus.extension.org/pluginfile.php/48384/course/section/7167/NRAES%20FarmCompost%20manual%201992.pdf</w:t>
        </w:r>
      </w:hyperlink>
      <w:r w:rsidR="00155402" w:rsidRPr="0013671F">
        <w:t>.</w:t>
      </w:r>
      <w:r w:rsidRPr="0013671F">
        <w:t xml:space="preserve"> Accessed October 2014.</w:t>
      </w:r>
    </w:p>
    <w:p w14:paraId="295D9DC0" w14:textId="5803BF5E" w:rsidR="00A27E80" w:rsidRPr="0013671F" w:rsidRDefault="008D3292" w:rsidP="00CD2DD4">
      <w:r w:rsidRPr="0013671F">
        <w:t xml:space="preserve">SMARTFERM </w:t>
      </w:r>
      <w:r w:rsidR="00A27E80" w:rsidRPr="0013671F">
        <w:t>for Zero Waste Energy. California.</w:t>
      </w:r>
    </w:p>
    <w:p w14:paraId="5E6B5B60" w14:textId="0F57CFFF" w:rsidR="00A27E80" w:rsidRPr="0013671F" w:rsidRDefault="00A27E80" w:rsidP="00CD2DD4">
      <w:r w:rsidRPr="0013671F">
        <w:lastRenderedPageBreak/>
        <w:t xml:space="preserve">Sniffer (2010). </w:t>
      </w:r>
      <w:r w:rsidR="00E21676" w:rsidRPr="0013671F">
        <w:t>“</w:t>
      </w:r>
      <w:r w:rsidRPr="0013671F">
        <w:t>Review of Available Literature on the Carbon and Nitrogen Contents and C:N Ratios of Composting Input Feedstock.</w:t>
      </w:r>
      <w:r w:rsidR="00E21676" w:rsidRPr="0013671F">
        <w:t>”</w:t>
      </w:r>
      <w:r w:rsidRPr="0013671F">
        <w:t xml:space="preserve"> Accessed September 2014.</w:t>
      </w:r>
    </w:p>
    <w:p w14:paraId="1183D525" w14:textId="6D6E62FF" w:rsidR="00A27E80" w:rsidRPr="0013671F" w:rsidRDefault="00A27E80" w:rsidP="00CD2DD4">
      <w:r w:rsidRPr="0013671F">
        <w:t>Swedish Gas Center. Basic Data on Biogas - Second Edition. 2014. ISBN: 978-91-85207-10-7.</w:t>
      </w:r>
    </w:p>
    <w:p w14:paraId="3ED8D20A" w14:textId="6992A30F" w:rsidR="00A27E80" w:rsidRPr="0013671F" w:rsidRDefault="00A27E80" w:rsidP="00CD2DD4">
      <w:r w:rsidRPr="0013671F">
        <w:t>Tolvik Consulting. The Economics of Anaerobic Digestion of Source Segregated Organic Wastes in the UK. Edition 2. 2010. Accessed September 2014.</w:t>
      </w:r>
    </w:p>
    <w:p w14:paraId="39866498" w14:textId="780F9899" w:rsidR="00A27E80" w:rsidRPr="0013671F" w:rsidRDefault="00A27E80" w:rsidP="00CD2DD4">
      <w:r w:rsidRPr="0013671F">
        <w:t xml:space="preserve">University of Minnesota. </w:t>
      </w:r>
      <w:r w:rsidR="00E21676" w:rsidRPr="0013671F">
        <w:t>“</w:t>
      </w:r>
      <w:r w:rsidRPr="0013671F">
        <w:t>Anaerobic Digester Economics</w:t>
      </w:r>
      <w:r w:rsidR="00E21676" w:rsidRPr="0013671F">
        <w:t>”</w:t>
      </w:r>
      <w:r w:rsidRPr="0013671F">
        <w:t xml:space="preserve"> Spreadsheet. 2009.</w:t>
      </w:r>
    </w:p>
    <w:p w14:paraId="04416F99" w14:textId="36D32C53" w:rsidR="00A27E80" w:rsidRPr="0013671F" w:rsidRDefault="00A27E80" w:rsidP="00CD2DD4">
      <w:r w:rsidRPr="0013671F">
        <w:t xml:space="preserve">US Environmental Protection Agency. </w:t>
      </w:r>
      <w:r w:rsidR="00E21676" w:rsidRPr="0013671F">
        <w:t>“</w:t>
      </w:r>
      <w:r w:rsidRPr="0013671F">
        <w:t>The Benefits of Anaerobic Digestion of Food Waste At Wastewater Treatment Facilities.</w:t>
      </w:r>
      <w:r w:rsidR="00E21676" w:rsidRPr="0013671F">
        <w:t>”</w:t>
      </w:r>
      <w:r w:rsidRPr="0013671F">
        <w:t xml:space="preserve"> </w:t>
      </w:r>
      <w:r w:rsidR="0033016A" w:rsidRPr="0013671F">
        <w:t>n</w:t>
      </w:r>
      <w:r w:rsidRPr="0013671F">
        <w:t xml:space="preserve">.d. </w:t>
      </w:r>
      <w:hyperlink r:id="rId20" w:history="1">
        <w:r w:rsidRPr="0013671F">
          <w:rPr>
            <w:rStyle w:val="Hyperlink"/>
          </w:rPr>
          <w:t>https://archive.epa.gov/region9/organics/web/pdf/why-anaerobic-digestion.pdf</w:t>
        </w:r>
      </w:hyperlink>
      <w:r w:rsidRPr="0013671F">
        <w:t>.</w:t>
      </w:r>
    </w:p>
    <w:p w14:paraId="57E6B46B" w14:textId="6E89811B" w:rsidR="00A27E80" w:rsidRPr="0013671F" w:rsidRDefault="00A27E80" w:rsidP="00CD2DD4">
      <w:r w:rsidRPr="0013671F">
        <w:t>Wheeler, PA and L de Rome.  Waste Pre-Treatment: A Review. R&amp;D Technical Report PI-344/TR. Bristol: Environment Agency, 2002.</w:t>
      </w:r>
    </w:p>
    <w:p w14:paraId="2C2ACB6A" w14:textId="5E5838F4" w:rsidR="00A27E80" w:rsidRPr="0013671F" w:rsidRDefault="00A27E80" w:rsidP="00CD2DD4">
      <w:r w:rsidRPr="0013671F">
        <w:t xml:space="preserve">World Bank. PPP conversion factor, private consumption (LCU per international $). </w:t>
      </w:r>
      <w:r w:rsidR="0033016A" w:rsidRPr="0013671F">
        <w:t>n</w:t>
      </w:r>
      <w:r w:rsidRPr="0013671F">
        <w:t xml:space="preserve">.d. </w:t>
      </w:r>
      <w:hyperlink r:id="rId21" w:history="1">
        <w:r w:rsidR="00220A22" w:rsidRPr="0013671F">
          <w:rPr>
            <w:rStyle w:val="Hyperlink"/>
          </w:rPr>
          <w:t>https://data.worldbank.org/indicator/PA.NUS.PRVT.PP</w:t>
        </w:r>
      </w:hyperlink>
      <w:r w:rsidR="00220A22" w:rsidRPr="0013671F">
        <w:t>.</w:t>
      </w:r>
      <w:r w:rsidRPr="0013671F">
        <w:t xml:space="preserve"> Accessed October 2017.</w:t>
      </w:r>
    </w:p>
    <w:p w14:paraId="3D88B895" w14:textId="798DC972" w:rsidR="00A27E80" w:rsidRPr="00CD2DD4" w:rsidRDefault="00A27E80" w:rsidP="00CD2DD4">
      <w:pPr>
        <w:rPr>
          <w:rFonts w:asciiTheme="minorBidi" w:hAnsiTheme="minorBidi"/>
        </w:rPr>
      </w:pPr>
      <w:r w:rsidRPr="0013671F">
        <w:t xml:space="preserve">WRAP. Summary Report – Material Bulk Densities, Report prepared by Resource Futures. 2009. </w:t>
      </w:r>
      <w:r w:rsidR="00220A22" w:rsidRPr="0013671F">
        <w:t>https://silo.tips/download/material-bulk-densities</w:t>
      </w:r>
      <w:r w:rsidRPr="0013671F">
        <w:t>. Accessed June 2015.</w:t>
      </w:r>
    </w:p>
    <w:sectPr w:rsidR="00A27E80" w:rsidRPr="00CD2DD4" w:rsidSect="009D261B">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7C115" w14:textId="77777777" w:rsidR="00CE6006" w:rsidRDefault="00CE6006" w:rsidP="00B03865">
      <w:pPr>
        <w:spacing w:after="0" w:line="240" w:lineRule="auto"/>
      </w:pPr>
      <w:r>
        <w:separator/>
      </w:r>
    </w:p>
  </w:endnote>
  <w:endnote w:type="continuationSeparator" w:id="0">
    <w:p w14:paraId="5568A32B" w14:textId="77777777" w:rsidR="00CE6006" w:rsidRDefault="00CE6006" w:rsidP="00B03865">
      <w:pPr>
        <w:spacing w:after="0" w:line="240" w:lineRule="auto"/>
      </w:pPr>
      <w:r>
        <w:continuationSeparator/>
      </w:r>
    </w:p>
  </w:endnote>
  <w:endnote w:type="continuationNotice" w:id="1">
    <w:p w14:paraId="39910840" w14:textId="77777777" w:rsidR="00CE6006" w:rsidRDefault="00CE60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151C" w14:textId="77777777" w:rsidR="004A772F" w:rsidRDefault="004A77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230240"/>
      <w:docPartObj>
        <w:docPartGallery w:val="Page Numbers (Bottom of Page)"/>
        <w:docPartUnique/>
      </w:docPartObj>
    </w:sdtPr>
    <w:sdtEndPr>
      <w:rPr>
        <w:noProof/>
      </w:rPr>
    </w:sdtEndPr>
    <w:sdtContent>
      <w:p w14:paraId="2FC5C116" w14:textId="51A299C5" w:rsidR="002D127B" w:rsidRPr="00E6114F" w:rsidRDefault="004A772F" w:rsidP="00E6114F">
        <w:pPr>
          <w:pStyle w:val="Footer"/>
          <w:rPr>
            <w:i/>
            <w:sz w:val="18"/>
          </w:rPr>
        </w:pPr>
        <w:sdt>
          <w:sdtPr>
            <w:rPr>
              <w:i/>
            </w:rPr>
            <w:id w:val="1796177553"/>
            <w:docPartObj>
              <w:docPartGallery w:val="Page Numbers (Bottom of Page)"/>
              <w:docPartUnique/>
            </w:docPartObj>
          </w:sdtPr>
          <w:sdtEndPr>
            <w:rPr>
              <w:noProof/>
              <w:sz w:val="18"/>
            </w:rPr>
          </w:sdtEndPr>
          <w:sdtContent>
            <w:r w:rsidR="002D127B" w:rsidRPr="0013671F">
              <w:rPr>
                <w:i/>
              </w:rPr>
              <w:t>OrganEcs v3.0</w:t>
            </w:r>
            <w:r w:rsidR="002D127B" w:rsidRPr="0013671F">
              <w:rPr>
                <w:i/>
              </w:rPr>
              <w:tab/>
            </w:r>
            <w:r w:rsidR="001673BE">
              <w:rPr>
                <w:i/>
              </w:rPr>
              <w:t>Decembe</w:t>
            </w:r>
            <w:r w:rsidR="002D127B" w:rsidRPr="0013671F">
              <w:rPr>
                <w:i/>
              </w:rPr>
              <w:t>r 2021</w:t>
            </w:r>
            <w:r w:rsidR="002D127B" w:rsidRPr="0013671F">
              <w:rPr>
                <w:i/>
              </w:rPr>
              <w:tab/>
            </w:r>
            <w:r w:rsidR="002D127B" w:rsidRPr="0013671F">
              <w:rPr>
                <w:i/>
                <w:szCs w:val="28"/>
              </w:rPr>
              <w:fldChar w:fldCharType="begin"/>
            </w:r>
            <w:r w:rsidR="002D127B" w:rsidRPr="0013671F">
              <w:rPr>
                <w:i/>
                <w:szCs w:val="28"/>
              </w:rPr>
              <w:instrText xml:space="preserve"> PAGE   \* MERGEFORMAT </w:instrText>
            </w:r>
            <w:r w:rsidR="002D127B" w:rsidRPr="0013671F">
              <w:rPr>
                <w:i/>
                <w:szCs w:val="28"/>
              </w:rPr>
              <w:fldChar w:fldCharType="separate"/>
            </w:r>
            <w:r w:rsidR="002D127B" w:rsidRPr="0013671F">
              <w:rPr>
                <w:i/>
                <w:szCs w:val="28"/>
              </w:rPr>
              <w:t>5</w:t>
            </w:r>
            <w:r w:rsidR="002D127B" w:rsidRPr="0013671F">
              <w:rPr>
                <w:i/>
                <w:noProof/>
                <w:szCs w:val="28"/>
              </w:rPr>
              <w:fldChar w:fldCharType="end"/>
            </w:r>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0523" w14:textId="77777777" w:rsidR="004A772F" w:rsidRDefault="004A77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B7304" w14:textId="77777777" w:rsidR="00CE6006" w:rsidRDefault="00CE6006" w:rsidP="00B03865">
      <w:pPr>
        <w:spacing w:after="0" w:line="240" w:lineRule="auto"/>
      </w:pPr>
      <w:r>
        <w:separator/>
      </w:r>
    </w:p>
  </w:footnote>
  <w:footnote w:type="continuationSeparator" w:id="0">
    <w:p w14:paraId="1E198038" w14:textId="77777777" w:rsidR="00CE6006" w:rsidRDefault="00CE6006" w:rsidP="00B03865">
      <w:pPr>
        <w:spacing w:after="0" w:line="240" w:lineRule="auto"/>
      </w:pPr>
      <w:r>
        <w:continuationSeparator/>
      </w:r>
    </w:p>
  </w:footnote>
  <w:footnote w:type="continuationNotice" w:id="1">
    <w:p w14:paraId="08AE2600" w14:textId="77777777" w:rsidR="00CE6006" w:rsidRDefault="00CE60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90748" w14:textId="77777777" w:rsidR="004A772F" w:rsidRDefault="004A77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56E7A" w14:textId="77777777" w:rsidR="004A772F" w:rsidRDefault="004A77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F5FFA" w14:textId="77777777" w:rsidR="004A772F" w:rsidRDefault="004A77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AA9"/>
    <w:multiLevelType w:val="hybridMultilevel"/>
    <w:tmpl w:val="E644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04024F"/>
    <w:multiLevelType w:val="hybridMultilevel"/>
    <w:tmpl w:val="6A909852"/>
    <w:lvl w:ilvl="0" w:tplc="84263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2352C"/>
    <w:multiLevelType w:val="hybridMultilevel"/>
    <w:tmpl w:val="09F2D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631B"/>
    <w:multiLevelType w:val="hybridMultilevel"/>
    <w:tmpl w:val="A2DE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D225A"/>
    <w:multiLevelType w:val="multilevel"/>
    <w:tmpl w:val="0409001F"/>
    <w:lvl w:ilvl="0">
      <w:start w:val="1"/>
      <w:numFmt w:val="decimal"/>
      <w:lvlText w:val="%1."/>
      <w:lvlJc w:val="left"/>
      <w:pPr>
        <w:ind w:left="360" w:hanging="360"/>
      </w:pPr>
    </w:lvl>
    <w:lvl w:ilvl="1">
      <w:start w:val="1"/>
      <w:numFmt w:val="decimal"/>
      <w:lvlText w:val="%1.%2."/>
      <w:lvlJc w:val="left"/>
      <w:pPr>
        <w:ind w:left="-2088" w:hanging="432"/>
      </w:pPr>
    </w:lvl>
    <w:lvl w:ilvl="2">
      <w:start w:val="1"/>
      <w:numFmt w:val="decimal"/>
      <w:lvlText w:val="%1.%2.%3."/>
      <w:lvlJc w:val="left"/>
      <w:pPr>
        <w:ind w:left="-1656" w:hanging="504"/>
      </w:pPr>
    </w:lvl>
    <w:lvl w:ilvl="3">
      <w:start w:val="1"/>
      <w:numFmt w:val="decimal"/>
      <w:lvlText w:val="%1.%2.%3.%4."/>
      <w:lvlJc w:val="left"/>
      <w:pPr>
        <w:ind w:left="-1152" w:hanging="648"/>
      </w:pPr>
    </w:lvl>
    <w:lvl w:ilvl="4">
      <w:start w:val="1"/>
      <w:numFmt w:val="decimal"/>
      <w:lvlText w:val="%1.%2.%3.%4.%5."/>
      <w:lvlJc w:val="left"/>
      <w:pPr>
        <w:ind w:left="-648" w:hanging="792"/>
      </w:pPr>
    </w:lvl>
    <w:lvl w:ilvl="5">
      <w:start w:val="1"/>
      <w:numFmt w:val="decimal"/>
      <w:lvlText w:val="%1.%2.%3.%4.%5.%6."/>
      <w:lvlJc w:val="left"/>
      <w:pPr>
        <w:ind w:left="-144" w:hanging="936"/>
      </w:pPr>
    </w:lvl>
    <w:lvl w:ilvl="6">
      <w:start w:val="1"/>
      <w:numFmt w:val="decimal"/>
      <w:lvlText w:val="%1.%2.%3.%4.%5.%6.%7."/>
      <w:lvlJc w:val="left"/>
      <w:pPr>
        <w:ind w:left="360" w:hanging="1080"/>
      </w:pPr>
    </w:lvl>
    <w:lvl w:ilvl="7">
      <w:start w:val="1"/>
      <w:numFmt w:val="decimal"/>
      <w:lvlText w:val="%1.%2.%3.%4.%5.%6.%7.%8."/>
      <w:lvlJc w:val="left"/>
      <w:pPr>
        <w:ind w:left="864" w:hanging="1224"/>
      </w:pPr>
    </w:lvl>
    <w:lvl w:ilvl="8">
      <w:start w:val="1"/>
      <w:numFmt w:val="decimal"/>
      <w:lvlText w:val="%1.%2.%3.%4.%5.%6.%7.%8.%9."/>
      <w:lvlJc w:val="left"/>
      <w:pPr>
        <w:ind w:left="1440" w:hanging="1440"/>
      </w:pPr>
    </w:lvl>
  </w:abstractNum>
  <w:abstractNum w:abstractNumId="5" w15:restartNumberingAfterBreak="0">
    <w:nsid w:val="2778580C"/>
    <w:multiLevelType w:val="hybridMultilevel"/>
    <w:tmpl w:val="FF08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E6350"/>
    <w:multiLevelType w:val="hybridMultilevel"/>
    <w:tmpl w:val="9CF0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8722F"/>
    <w:multiLevelType w:val="hybridMultilevel"/>
    <w:tmpl w:val="BB368348"/>
    <w:lvl w:ilvl="0" w:tplc="43D8074E">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0375D"/>
    <w:multiLevelType w:val="hybridMultilevel"/>
    <w:tmpl w:val="745A0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3E54F4"/>
    <w:multiLevelType w:val="hybridMultilevel"/>
    <w:tmpl w:val="BD94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7276AA"/>
    <w:multiLevelType w:val="hybridMultilevel"/>
    <w:tmpl w:val="6980D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6A1BF1"/>
    <w:multiLevelType w:val="hybridMultilevel"/>
    <w:tmpl w:val="C68221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7A0E9D"/>
    <w:multiLevelType w:val="hybridMultilevel"/>
    <w:tmpl w:val="6F80E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77F39"/>
    <w:multiLevelType w:val="hybridMultilevel"/>
    <w:tmpl w:val="E95864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AD7F6E"/>
    <w:multiLevelType w:val="hybridMultilevel"/>
    <w:tmpl w:val="EE003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C6991"/>
    <w:multiLevelType w:val="hybridMultilevel"/>
    <w:tmpl w:val="715E9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D15254"/>
    <w:multiLevelType w:val="hybridMultilevel"/>
    <w:tmpl w:val="2B828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CA67C8"/>
    <w:multiLevelType w:val="hybridMultilevel"/>
    <w:tmpl w:val="6F80E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9EA7E78"/>
    <w:multiLevelType w:val="multilevel"/>
    <w:tmpl w:val="41D05BF6"/>
    <w:lvl w:ilvl="0">
      <w:start w:val="1"/>
      <w:numFmt w:val="decimal"/>
      <w:pStyle w:val="Heading1"/>
      <w:suff w:val="space"/>
      <w:lvlText w:val="%1."/>
      <w:lvlJc w:val="left"/>
      <w:pPr>
        <w:ind w:left="0" w:firstLine="0"/>
      </w:pPr>
      <w:rPr>
        <w:rFonts w:ascii="Arial" w:hAnsi="Arial" w:cs="Arial" w:hint="default"/>
        <w:b/>
        <w:i w:val="0"/>
        <w:caps/>
        <w:color w:val="2D5CA3"/>
        <w:sz w:val="36"/>
      </w:rPr>
    </w:lvl>
    <w:lvl w:ilvl="1">
      <w:start w:val="1"/>
      <w:numFmt w:val="decimal"/>
      <w:pStyle w:val="Heading2"/>
      <w:suff w:val="space"/>
      <w:lvlText w:val="%1.%2"/>
      <w:lvlJc w:val="left"/>
      <w:pPr>
        <w:ind w:left="0" w:firstLine="0"/>
      </w:pPr>
      <w:rPr>
        <w:rFonts w:ascii="Arial" w:hAnsi="Arial" w:hint="default"/>
        <w:b/>
        <w:i w:val="0"/>
        <w:color w:val="FFFFFF" w:themeColor="background1"/>
        <w:sz w:val="32"/>
      </w:rPr>
    </w:lvl>
    <w:lvl w:ilvl="2">
      <w:start w:val="1"/>
      <w:numFmt w:val="decimal"/>
      <w:pStyle w:val="Heading3"/>
      <w:suff w:val="space"/>
      <w:lvlText w:val="%1.%2.%3"/>
      <w:lvlJc w:val="left"/>
      <w:pPr>
        <w:ind w:left="0" w:firstLine="0"/>
      </w:pPr>
      <w:rPr>
        <w:rFonts w:ascii="Arial Nova" w:hAnsi="Arial Nova" w:hint="default"/>
        <w:b/>
        <w:i w:val="0"/>
        <w:color w:val="0A4990"/>
        <w:sz w:val="24"/>
      </w:rPr>
    </w:lvl>
    <w:lvl w:ilvl="3">
      <w:start w:val="1"/>
      <w:numFmt w:val="none"/>
      <w:lvlText w:val=""/>
      <w:lvlJc w:val="left"/>
      <w:pPr>
        <w:ind w:left="0" w:firstLine="0"/>
      </w:pPr>
      <w:rPr>
        <w:rFonts w:ascii="Arial" w:hAnsi="Arial" w:hint="default"/>
        <w:b w:val="0"/>
        <w:i w:val="0"/>
        <w:color w:val="000000" w:themeColor="text1"/>
        <w:sz w:val="24"/>
        <w:u w:val="words"/>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6A825ADE"/>
    <w:multiLevelType w:val="hybridMultilevel"/>
    <w:tmpl w:val="BB100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1C1AA4"/>
    <w:multiLevelType w:val="hybridMultilevel"/>
    <w:tmpl w:val="1DEC2EDC"/>
    <w:lvl w:ilvl="0" w:tplc="B3D209B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00435"/>
    <w:multiLevelType w:val="hybridMultilevel"/>
    <w:tmpl w:val="072EDB18"/>
    <w:lvl w:ilvl="0" w:tplc="9CD4FF18">
      <w:start w:val="1"/>
      <w:numFmt w:val="decimal"/>
      <w:lvlText w:val="%1.1"/>
      <w:lvlJc w:val="left"/>
      <w:pPr>
        <w:ind w:left="720" w:hanging="360"/>
      </w:pPr>
      <w:rPr>
        <w:rFonts w:ascii="Arial Nova" w:hAnsi="Arial Nova" w:cs="Arial Nova" w:hint="default"/>
        <w:b/>
        <w:bCs/>
        <w:i w:val="0"/>
        <w:iCs w:val="0"/>
        <w:color w:val="0A499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A1112D"/>
    <w:multiLevelType w:val="hybridMultilevel"/>
    <w:tmpl w:val="18DAA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20"/>
  </w:num>
  <w:num w:numId="4">
    <w:abstractNumId w:val="18"/>
  </w:num>
  <w:num w:numId="5">
    <w:abstractNumId w:val="4"/>
  </w:num>
  <w:num w:numId="6">
    <w:abstractNumId w:val="12"/>
  </w:num>
  <w:num w:numId="7">
    <w:abstractNumId w:val="8"/>
  </w:num>
  <w:num w:numId="8">
    <w:abstractNumId w:val="10"/>
  </w:num>
  <w:num w:numId="9">
    <w:abstractNumId w:val="14"/>
  </w:num>
  <w:num w:numId="10">
    <w:abstractNumId w:val="17"/>
  </w:num>
  <w:num w:numId="11">
    <w:abstractNumId w:val="22"/>
  </w:num>
  <w:num w:numId="12">
    <w:abstractNumId w:val="7"/>
  </w:num>
  <w:num w:numId="13">
    <w:abstractNumId w:val="19"/>
  </w:num>
  <w:num w:numId="14">
    <w:abstractNumId w:val="2"/>
  </w:num>
  <w:num w:numId="15">
    <w:abstractNumId w:val="11"/>
  </w:num>
  <w:num w:numId="16">
    <w:abstractNumId w:val="9"/>
  </w:num>
  <w:num w:numId="17">
    <w:abstractNumId w:val="0"/>
  </w:num>
  <w:num w:numId="18">
    <w:abstractNumId w:val="15"/>
  </w:num>
  <w:num w:numId="19">
    <w:abstractNumId w:val="6"/>
  </w:num>
  <w:num w:numId="20">
    <w:abstractNumId w:val="5"/>
  </w:num>
  <w:num w:numId="21">
    <w:abstractNumId w:val="3"/>
  </w:num>
  <w:num w:numId="22">
    <w:abstractNumId w:val="1"/>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865"/>
    <w:rsid w:val="00016A6C"/>
    <w:rsid w:val="00034C00"/>
    <w:rsid w:val="00043093"/>
    <w:rsid w:val="00046EBA"/>
    <w:rsid w:val="00062FE5"/>
    <w:rsid w:val="000735C2"/>
    <w:rsid w:val="000835A6"/>
    <w:rsid w:val="000A17C5"/>
    <w:rsid w:val="000B0216"/>
    <w:rsid w:val="000C0411"/>
    <w:rsid w:val="000C6EF8"/>
    <w:rsid w:val="000D258F"/>
    <w:rsid w:val="000D54E1"/>
    <w:rsid w:val="000D7909"/>
    <w:rsid w:val="000E7B10"/>
    <w:rsid w:val="000F0EF0"/>
    <w:rsid w:val="00111FF8"/>
    <w:rsid w:val="001153FE"/>
    <w:rsid w:val="00116C94"/>
    <w:rsid w:val="00122598"/>
    <w:rsid w:val="0013671F"/>
    <w:rsid w:val="0014528D"/>
    <w:rsid w:val="00154D8F"/>
    <w:rsid w:val="00155402"/>
    <w:rsid w:val="001569FA"/>
    <w:rsid w:val="00163CC4"/>
    <w:rsid w:val="00164262"/>
    <w:rsid w:val="001673BE"/>
    <w:rsid w:val="001779B5"/>
    <w:rsid w:val="001908FE"/>
    <w:rsid w:val="0019306B"/>
    <w:rsid w:val="00197CB1"/>
    <w:rsid w:val="001A3669"/>
    <w:rsid w:val="001B5372"/>
    <w:rsid w:val="001C1380"/>
    <w:rsid w:val="001C2562"/>
    <w:rsid w:val="001C3550"/>
    <w:rsid w:val="001E55A2"/>
    <w:rsid w:val="001E5CFE"/>
    <w:rsid w:val="001F2145"/>
    <w:rsid w:val="001F476F"/>
    <w:rsid w:val="00200EF2"/>
    <w:rsid w:val="00206370"/>
    <w:rsid w:val="00206625"/>
    <w:rsid w:val="00211DE2"/>
    <w:rsid w:val="00212087"/>
    <w:rsid w:val="00220A22"/>
    <w:rsid w:val="002359DE"/>
    <w:rsid w:val="00242EBB"/>
    <w:rsid w:val="002455CD"/>
    <w:rsid w:val="00247291"/>
    <w:rsid w:val="002517F7"/>
    <w:rsid w:val="00257A75"/>
    <w:rsid w:val="00262874"/>
    <w:rsid w:val="00274437"/>
    <w:rsid w:val="0028772B"/>
    <w:rsid w:val="00291F70"/>
    <w:rsid w:val="002959A8"/>
    <w:rsid w:val="002A085C"/>
    <w:rsid w:val="002A2368"/>
    <w:rsid w:val="002A6D79"/>
    <w:rsid w:val="002A735B"/>
    <w:rsid w:val="002B331E"/>
    <w:rsid w:val="002B5C3F"/>
    <w:rsid w:val="002C2BDD"/>
    <w:rsid w:val="002C3ECF"/>
    <w:rsid w:val="002D127B"/>
    <w:rsid w:val="002D5AA1"/>
    <w:rsid w:val="002E1249"/>
    <w:rsid w:val="002E584C"/>
    <w:rsid w:val="002F0199"/>
    <w:rsid w:val="002F1888"/>
    <w:rsid w:val="002F4435"/>
    <w:rsid w:val="003175D7"/>
    <w:rsid w:val="00321EF5"/>
    <w:rsid w:val="00323D61"/>
    <w:rsid w:val="0033016A"/>
    <w:rsid w:val="00337A1A"/>
    <w:rsid w:val="00344159"/>
    <w:rsid w:val="00345B04"/>
    <w:rsid w:val="00350E24"/>
    <w:rsid w:val="00357432"/>
    <w:rsid w:val="00364CDF"/>
    <w:rsid w:val="003676C7"/>
    <w:rsid w:val="003731AF"/>
    <w:rsid w:val="003826EB"/>
    <w:rsid w:val="00386D02"/>
    <w:rsid w:val="00390F7F"/>
    <w:rsid w:val="0039626C"/>
    <w:rsid w:val="003967E7"/>
    <w:rsid w:val="003A4DAE"/>
    <w:rsid w:val="003A61C2"/>
    <w:rsid w:val="003B2449"/>
    <w:rsid w:val="003C4A86"/>
    <w:rsid w:val="003D0DC6"/>
    <w:rsid w:val="003D13F3"/>
    <w:rsid w:val="003D6124"/>
    <w:rsid w:val="003D626D"/>
    <w:rsid w:val="003D797E"/>
    <w:rsid w:val="003E09BF"/>
    <w:rsid w:val="003F105D"/>
    <w:rsid w:val="003F1400"/>
    <w:rsid w:val="003F339C"/>
    <w:rsid w:val="003F45FF"/>
    <w:rsid w:val="003F6F3E"/>
    <w:rsid w:val="003F7EC8"/>
    <w:rsid w:val="00400832"/>
    <w:rsid w:val="00427023"/>
    <w:rsid w:val="004349C2"/>
    <w:rsid w:val="004351D4"/>
    <w:rsid w:val="0043741A"/>
    <w:rsid w:val="00440DB0"/>
    <w:rsid w:val="004527AB"/>
    <w:rsid w:val="00461593"/>
    <w:rsid w:val="004673B7"/>
    <w:rsid w:val="00475EBD"/>
    <w:rsid w:val="0048269E"/>
    <w:rsid w:val="0048691A"/>
    <w:rsid w:val="004A772F"/>
    <w:rsid w:val="004B0BCB"/>
    <w:rsid w:val="004B1E15"/>
    <w:rsid w:val="004D5DE0"/>
    <w:rsid w:val="004E1E65"/>
    <w:rsid w:val="004E2147"/>
    <w:rsid w:val="004E34C2"/>
    <w:rsid w:val="004E3BA2"/>
    <w:rsid w:val="004E635B"/>
    <w:rsid w:val="004E7FF5"/>
    <w:rsid w:val="00505EC3"/>
    <w:rsid w:val="00510834"/>
    <w:rsid w:val="00512D1A"/>
    <w:rsid w:val="00513FE8"/>
    <w:rsid w:val="005175F2"/>
    <w:rsid w:val="00542998"/>
    <w:rsid w:val="00557997"/>
    <w:rsid w:val="00563980"/>
    <w:rsid w:val="0057398A"/>
    <w:rsid w:val="0057690E"/>
    <w:rsid w:val="0058558F"/>
    <w:rsid w:val="005B50A3"/>
    <w:rsid w:val="005B5699"/>
    <w:rsid w:val="005B6693"/>
    <w:rsid w:val="005D7224"/>
    <w:rsid w:val="005E398F"/>
    <w:rsid w:val="005F1349"/>
    <w:rsid w:val="005F456E"/>
    <w:rsid w:val="00603D2A"/>
    <w:rsid w:val="006118D9"/>
    <w:rsid w:val="0062029E"/>
    <w:rsid w:val="00631560"/>
    <w:rsid w:val="006321D2"/>
    <w:rsid w:val="00635ACC"/>
    <w:rsid w:val="00641908"/>
    <w:rsid w:val="00643D98"/>
    <w:rsid w:val="00670E40"/>
    <w:rsid w:val="00671437"/>
    <w:rsid w:val="006822B1"/>
    <w:rsid w:val="006A28BB"/>
    <w:rsid w:val="006A2B7A"/>
    <w:rsid w:val="006B4E73"/>
    <w:rsid w:val="006B51CE"/>
    <w:rsid w:val="006C0556"/>
    <w:rsid w:val="006C6E15"/>
    <w:rsid w:val="006F59F1"/>
    <w:rsid w:val="006F6FA9"/>
    <w:rsid w:val="00701C42"/>
    <w:rsid w:val="00706112"/>
    <w:rsid w:val="00724963"/>
    <w:rsid w:val="007315F8"/>
    <w:rsid w:val="007349B3"/>
    <w:rsid w:val="00744ECE"/>
    <w:rsid w:val="00745335"/>
    <w:rsid w:val="007612E5"/>
    <w:rsid w:val="00762B4C"/>
    <w:rsid w:val="00765E85"/>
    <w:rsid w:val="00777A2C"/>
    <w:rsid w:val="0078240D"/>
    <w:rsid w:val="00785627"/>
    <w:rsid w:val="0078665B"/>
    <w:rsid w:val="007929F1"/>
    <w:rsid w:val="007A083A"/>
    <w:rsid w:val="007B53FD"/>
    <w:rsid w:val="007C1321"/>
    <w:rsid w:val="007C4E35"/>
    <w:rsid w:val="007C5E38"/>
    <w:rsid w:val="007D1EF0"/>
    <w:rsid w:val="007D339A"/>
    <w:rsid w:val="007D444B"/>
    <w:rsid w:val="007E1843"/>
    <w:rsid w:val="007F3FCA"/>
    <w:rsid w:val="007F7624"/>
    <w:rsid w:val="00802A98"/>
    <w:rsid w:val="008033B4"/>
    <w:rsid w:val="00804BEA"/>
    <w:rsid w:val="0081084E"/>
    <w:rsid w:val="008115D7"/>
    <w:rsid w:val="00822BF3"/>
    <w:rsid w:val="008326FD"/>
    <w:rsid w:val="00832B0F"/>
    <w:rsid w:val="00844351"/>
    <w:rsid w:val="00851649"/>
    <w:rsid w:val="00857F75"/>
    <w:rsid w:val="00862245"/>
    <w:rsid w:val="00865BEE"/>
    <w:rsid w:val="00870A81"/>
    <w:rsid w:val="0088201D"/>
    <w:rsid w:val="00882636"/>
    <w:rsid w:val="008839DC"/>
    <w:rsid w:val="008859DE"/>
    <w:rsid w:val="0089084E"/>
    <w:rsid w:val="00896ABD"/>
    <w:rsid w:val="008A19B0"/>
    <w:rsid w:val="008A2951"/>
    <w:rsid w:val="008A2EFC"/>
    <w:rsid w:val="008A57DE"/>
    <w:rsid w:val="008B009E"/>
    <w:rsid w:val="008D242B"/>
    <w:rsid w:val="008D3292"/>
    <w:rsid w:val="008D39C5"/>
    <w:rsid w:val="008D3BDD"/>
    <w:rsid w:val="008E2013"/>
    <w:rsid w:val="008F3116"/>
    <w:rsid w:val="008F604A"/>
    <w:rsid w:val="009012BB"/>
    <w:rsid w:val="00910AE1"/>
    <w:rsid w:val="00911A06"/>
    <w:rsid w:val="00917401"/>
    <w:rsid w:val="009305D3"/>
    <w:rsid w:val="0093546D"/>
    <w:rsid w:val="00964E6E"/>
    <w:rsid w:val="009758B6"/>
    <w:rsid w:val="00990166"/>
    <w:rsid w:val="0099465F"/>
    <w:rsid w:val="009A0A90"/>
    <w:rsid w:val="009A3A9A"/>
    <w:rsid w:val="009A3F36"/>
    <w:rsid w:val="009A7D25"/>
    <w:rsid w:val="009B1AF1"/>
    <w:rsid w:val="009B6379"/>
    <w:rsid w:val="009C05DC"/>
    <w:rsid w:val="009C3F51"/>
    <w:rsid w:val="009C6D76"/>
    <w:rsid w:val="009D261B"/>
    <w:rsid w:val="009D30B2"/>
    <w:rsid w:val="009F3D54"/>
    <w:rsid w:val="009F4215"/>
    <w:rsid w:val="00A060A2"/>
    <w:rsid w:val="00A16A44"/>
    <w:rsid w:val="00A23B2D"/>
    <w:rsid w:val="00A27E80"/>
    <w:rsid w:val="00A30ABB"/>
    <w:rsid w:val="00A36511"/>
    <w:rsid w:val="00A37CC6"/>
    <w:rsid w:val="00A4411F"/>
    <w:rsid w:val="00A47277"/>
    <w:rsid w:val="00A56507"/>
    <w:rsid w:val="00A60A88"/>
    <w:rsid w:val="00A64F4D"/>
    <w:rsid w:val="00A65138"/>
    <w:rsid w:val="00A76997"/>
    <w:rsid w:val="00A80C75"/>
    <w:rsid w:val="00A81CAA"/>
    <w:rsid w:val="00A8676A"/>
    <w:rsid w:val="00A87FDB"/>
    <w:rsid w:val="00A964D3"/>
    <w:rsid w:val="00A9736A"/>
    <w:rsid w:val="00A9752A"/>
    <w:rsid w:val="00AA28CF"/>
    <w:rsid w:val="00AA4D9A"/>
    <w:rsid w:val="00AA7835"/>
    <w:rsid w:val="00AB5344"/>
    <w:rsid w:val="00AB6F58"/>
    <w:rsid w:val="00AC6B5D"/>
    <w:rsid w:val="00AD5A1D"/>
    <w:rsid w:val="00AE6DA6"/>
    <w:rsid w:val="00AF01CC"/>
    <w:rsid w:val="00B02345"/>
    <w:rsid w:val="00B02D40"/>
    <w:rsid w:val="00B03865"/>
    <w:rsid w:val="00B07558"/>
    <w:rsid w:val="00B308AE"/>
    <w:rsid w:val="00B30FBC"/>
    <w:rsid w:val="00B330C7"/>
    <w:rsid w:val="00B42C17"/>
    <w:rsid w:val="00B52FF6"/>
    <w:rsid w:val="00B54CD7"/>
    <w:rsid w:val="00B56C76"/>
    <w:rsid w:val="00B66B5D"/>
    <w:rsid w:val="00B81563"/>
    <w:rsid w:val="00B96238"/>
    <w:rsid w:val="00BA0D25"/>
    <w:rsid w:val="00BA6733"/>
    <w:rsid w:val="00BC122B"/>
    <w:rsid w:val="00BC1E35"/>
    <w:rsid w:val="00BC4281"/>
    <w:rsid w:val="00BC4562"/>
    <w:rsid w:val="00BE2454"/>
    <w:rsid w:val="00BE7280"/>
    <w:rsid w:val="00BF2B86"/>
    <w:rsid w:val="00C0489A"/>
    <w:rsid w:val="00C05A28"/>
    <w:rsid w:val="00C06E3D"/>
    <w:rsid w:val="00C14571"/>
    <w:rsid w:val="00C14F34"/>
    <w:rsid w:val="00C36D88"/>
    <w:rsid w:val="00C4227D"/>
    <w:rsid w:val="00C454D8"/>
    <w:rsid w:val="00C554FD"/>
    <w:rsid w:val="00C55D72"/>
    <w:rsid w:val="00C56EAE"/>
    <w:rsid w:val="00C63FFB"/>
    <w:rsid w:val="00C74E18"/>
    <w:rsid w:val="00C810F4"/>
    <w:rsid w:val="00C9305B"/>
    <w:rsid w:val="00C9602B"/>
    <w:rsid w:val="00CA2774"/>
    <w:rsid w:val="00CA5499"/>
    <w:rsid w:val="00CA5602"/>
    <w:rsid w:val="00CA685C"/>
    <w:rsid w:val="00CA77EE"/>
    <w:rsid w:val="00CB214F"/>
    <w:rsid w:val="00CB43A6"/>
    <w:rsid w:val="00CC0F2E"/>
    <w:rsid w:val="00CC2F98"/>
    <w:rsid w:val="00CC5309"/>
    <w:rsid w:val="00CD276E"/>
    <w:rsid w:val="00CD2DD4"/>
    <w:rsid w:val="00CD3D7A"/>
    <w:rsid w:val="00CD738B"/>
    <w:rsid w:val="00CE303A"/>
    <w:rsid w:val="00CE4595"/>
    <w:rsid w:val="00CE4B13"/>
    <w:rsid w:val="00CE6006"/>
    <w:rsid w:val="00CF2287"/>
    <w:rsid w:val="00D13DE8"/>
    <w:rsid w:val="00D2027F"/>
    <w:rsid w:val="00D41CC3"/>
    <w:rsid w:val="00D4200F"/>
    <w:rsid w:val="00D6209A"/>
    <w:rsid w:val="00D62E4D"/>
    <w:rsid w:val="00D70CF1"/>
    <w:rsid w:val="00D91DB6"/>
    <w:rsid w:val="00DA21E0"/>
    <w:rsid w:val="00DB1BA2"/>
    <w:rsid w:val="00DB7843"/>
    <w:rsid w:val="00DC2A7D"/>
    <w:rsid w:val="00DC7007"/>
    <w:rsid w:val="00DD2A66"/>
    <w:rsid w:val="00DD4573"/>
    <w:rsid w:val="00DE19D6"/>
    <w:rsid w:val="00DE41E7"/>
    <w:rsid w:val="00DF0058"/>
    <w:rsid w:val="00E02BAF"/>
    <w:rsid w:val="00E03F9F"/>
    <w:rsid w:val="00E13E74"/>
    <w:rsid w:val="00E16792"/>
    <w:rsid w:val="00E211CB"/>
    <w:rsid w:val="00E2139C"/>
    <w:rsid w:val="00E21676"/>
    <w:rsid w:val="00E24BF0"/>
    <w:rsid w:val="00E34B6F"/>
    <w:rsid w:val="00E448C4"/>
    <w:rsid w:val="00E52D7C"/>
    <w:rsid w:val="00E6114F"/>
    <w:rsid w:val="00E72134"/>
    <w:rsid w:val="00E93DBA"/>
    <w:rsid w:val="00E9494F"/>
    <w:rsid w:val="00EE0DC3"/>
    <w:rsid w:val="00EE7E07"/>
    <w:rsid w:val="00EF1F60"/>
    <w:rsid w:val="00F27BF3"/>
    <w:rsid w:val="00F33213"/>
    <w:rsid w:val="00F3574D"/>
    <w:rsid w:val="00F37AE7"/>
    <w:rsid w:val="00F40FC7"/>
    <w:rsid w:val="00F44F70"/>
    <w:rsid w:val="00F535E8"/>
    <w:rsid w:val="00F65626"/>
    <w:rsid w:val="00F74D72"/>
    <w:rsid w:val="00F81A84"/>
    <w:rsid w:val="00F83990"/>
    <w:rsid w:val="00FA3D31"/>
    <w:rsid w:val="00FA5C2A"/>
    <w:rsid w:val="00FA6393"/>
    <w:rsid w:val="00FA7907"/>
    <w:rsid w:val="00FB7EA4"/>
    <w:rsid w:val="00FC19AF"/>
    <w:rsid w:val="00FC3F10"/>
    <w:rsid w:val="00FC649A"/>
    <w:rsid w:val="00FD23C8"/>
    <w:rsid w:val="00FD6714"/>
    <w:rsid w:val="00FF47B7"/>
    <w:rsid w:val="1025164B"/>
    <w:rsid w:val="22967A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09EA8"/>
  <w15:chartTrackingRefBased/>
  <w15:docId w15:val="{E1433E97-7CF9-4320-826A-DAE7B86D6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39C"/>
    <w:rPr>
      <w:rFonts w:ascii="Arial Nova Light" w:hAnsi="Arial Nova Light"/>
    </w:rPr>
  </w:style>
  <w:style w:type="paragraph" w:styleId="Heading1">
    <w:name w:val="heading 1"/>
    <w:next w:val="Normal"/>
    <w:link w:val="Heading1Char"/>
    <w:uiPriority w:val="9"/>
    <w:qFormat/>
    <w:rsid w:val="002959A8"/>
    <w:pPr>
      <w:keepNext/>
      <w:keepLines/>
      <w:numPr>
        <w:numId w:val="4"/>
      </w:numPr>
      <w:spacing w:before="240"/>
      <w:outlineLvl w:val="0"/>
    </w:pPr>
    <w:rPr>
      <w:rFonts w:ascii="Arial" w:eastAsiaTheme="majorEastAsia" w:hAnsi="Arial" w:cstheme="majorBidi"/>
      <w:b/>
      <w:caps/>
      <w:color w:val="2D5CA3"/>
      <w:sz w:val="40"/>
      <w:szCs w:val="40"/>
    </w:rPr>
  </w:style>
  <w:style w:type="paragraph" w:styleId="Heading2">
    <w:name w:val="heading 2"/>
    <w:basedOn w:val="Heading1"/>
    <w:next w:val="Normal"/>
    <w:link w:val="Heading2Char"/>
    <w:uiPriority w:val="9"/>
    <w:qFormat/>
    <w:rsid w:val="002959A8"/>
    <w:pPr>
      <w:numPr>
        <w:ilvl w:val="1"/>
      </w:numPr>
      <w:shd w:val="clear" w:color="auto" w:fill="2D5CA3"/>
      <w:outlineLvl w:val="1"/>
    </w:pPr>
    <w:rPr>
      <w:caps w:val="0"/>
      <w:color w:val="FFFFFF" w:themeColor="background1"/>
      <w:sz w:val="32"/>
      <w:szCs w:val="32"/>
    </w:rPr>
  </w:style>
  <w:style w:type="paragraph" w:styleId="Heading3">
    <w:name w:val="heading 3"/>
    <w:basedOn w:val="Normal"/>
    <w:next w:val="Normal"/>
    <w:link w:val="Heading3Char"/>
    <w:uiPriority w:val="9"/>
    <w:qFormat/>
    <w:rsid w:val="002959A8"/>
    <w:pPr>
      <w:keepNext/>
      <w:keepLines/>
      <w:numPr>
        <w:ilvl w:val="2"/>
        <w:numId w:val="4"/>
      </w:numPr>
      <w:spacing w:before="240"/>
      <w:outlineLvl w:val="2"/>
    </w:pPr>
    <w:rPr>
      <w:rFonts w:asciiTheme="minorBidi" w:eastAsiaTheme="majorEastAsia" w:hAnsiTheme="minorBidi"/>
      <w:b/>
      <w:color w:val="000000" w:themeColor="text1"/>
      <w:sz w:val="24"/>
      <w:szCs w:val="24"/>
    </w:rPr>
  </w:style>
  <w:style w:type="paragraph" w:styleId="Heading4">
    <w:name w:val="heading 4"/>
    <w:basedOn w:val="Normal"/>
    <w:next w:val="Normal"/>
    <w:link w:val="Heading4Char"/>
    <w:uiPriority w:val="9"/>
    <w:unhideWhenUsed/>
    <w:qFormat/>
    <w:rsid w:val="00CA560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5335"/>
    <w:pPr>
      <w:ind w:left="720"/>
      <w:contextualSpacing/>
    </w:pPr>
  </w:style>
  <w:style w:type="character" w:customStyle="1" w:styleId="Heading1Char">
    <w:name w:val="Heading 1 Char"/>
    <w:basedOn w:val="DefaultParagraphFont"/>
    <w:link w:val="Heading1"/>
    <w:uiPriority w:val="9"/>
    <w:rsid w:val="002959A8"/>
    <w:rPr>
      <w:rFonts w:ascii="Arial" w:eastAsiaTheme="majorEastAsia" w:hAnsi="Arial" w:cstheme="majorBidi"/>
      <w:b/>
      <w:caps/>
      <w:color w:val="2D5CA3"/>
      <w:sz w:val="40"/>
      <w:szCs w:val="40"/>
    </w:rPr>
  </w:style>
  <w:style w:type="character" w:customStyle="1" w:styleId="Heading2Char">
    <w:name w:val="Heading 2 Char"/>
    <w:basedOn w:val="DefaultParagraphFont"/>
    <w:link w:val="Heading2"/>
    <w:uiPriority w:val="9"/>
    <w:rsid w:val="002959A8"/>
    <w:rPr>
      <w:rFonts w:ascii="Arial" w:eastAsiaTheme="majorEastAsia" w:hAnsi="Arial" w:cstheme="majorBidi"/>
      <w:b/>
      <w:color w:val="FFFFFF" w:themeColor="background1"/>
      <w:sz w:val="32"/>
      <w:szCs w:val="32"/>
      <w:shd w:val="clear" w:color="auto" w:fill="2D5CA3"/>
    </w:rPr>
  </w:style>
  <w:style w:type="character" w:customStyle="1" w:styleId="Heading3Char">
    <w:name w:val="Heading 3 Char"/>
    <w:basedOn w:val="DefaultParagraphFont"/>
    <w:link w:val="Heading3"/>
    <w:uiPriority w:val="9"/>
    <w:rsid w:val="002959A8"/>
    <w:rPr>
      <w:rFonts w:asciiTheme="minorBidi" w:eastAsiaTheme="majorEastAsia" w:hAnsiTheme="minorBidi"/>
      <w:b/>
      <w:color w:val="000000" w:themeColor="text1"/>
      <w:sz w:val="24"/>
      <w:szCs w:val="24"/>
    </w:rPr>
  </w:style>
  <w:style w:type="character" w:styleId="CommentReference">
    <w:name w:val="annotation reference"/>
    <w:basedOn w:val="DefaultParagraphFont"/>
    <w:uiPriority w:val="99"/>
    <w:semiHidden/>
    <w:unhideWhenUsed/>
    <w:rsid w:val="002959A8"/>
    <w:rPr>
      <w:sz w:val="16"/>
      <w:szCs w:val="16"/>
    </w:rPr>
  </w:style>
  <w:style w:type="paragraph" w:styleId="CommentText">
    <w:name w:val="annotation text"/>
    <w:basedOn w:val="Normal"/>
    <w:link w:val="CommentTextChar"/>
    <w:uiPriority w:val="99"/>
    <w:unhideWhenUsed/>
    <w:rsid w:val="002959A8"/>
    <w:pPr>
      <w:spacing w:after="0" w:line="240" w:lineRule="auto"/>
    </w:pPr>
    <w:rPr>
      <w:rFonts w:ascii="Arial" w:hAnsi="Arial"/>
      <w:sz w:val="20"/>
      <w:szCs w:val="20"/>
    </w:rPr>
  </w:style>
  <w:style w:type="character" w:customStyle="1" w:styleId="CommentTextChar">
    <w:name w:val="Comment Text Char"/>
    <w:basedOn w:val="DefaultParagraphFont"/>
    <w:link w:val="CommentText"/>
    <w:uiPriority w:val="99"/>
    <w:rsid w:val="002959A8"/>
    <w:rPr>
      <w:rFonts w:ascii="Arial" w:hAnsi="Arial"/>
      <w:sz w:val="20"/>
      <w:szCs w:val="20"/>
    </w:rPr>
  </w:style>
  <w:style w:type="character" w:styleId="Hyperlink">
    <w:name w:val="Hyperlink"/>
    <w:basedOn w:val="DefaultParagraphFont"/>
    <w:uiPriority w:val="99"/>
    <w:unhideWhenUsed/>
    <w:rsid w:val="002959A8"/>
    <w:rPr>
      <w:color w:val="0563C1" w:themeColor="hyperlink"/>
      <w:u w:val="single"/>
    </w:rPr>
  </w:style>
  <w:style w:type="paragraph" w:styleId="FootnoteText">
    <w:name w:val="footnote text"/>
    <w:basedOn w:val="Normal"/>
    <w:link w:val="FootnoteTextChar"/>
    <w:uiPriority w:val="99"/>
    <w:semiHidden/>
    <w:unhideWhenUsed/>
    <w:rsid w:val="002959A8"/>
    <w:pPr>
      <w:spacing w:after="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2959A8"/>
    <w:rPr>
      <w:rFonts w:ascii="Arial" w:hAnsi="Arial"/>
      <w:sz w:val="20"/>
      <w:szCs w:val="20"/>
    </w:rPr>
  </w:style>
  <w:style w:type="character" w:styleId="FootnoteReference">
    <w:name w:val="footnote reference"/>
    <w:basedOn w:val="DefaultParagraphFont"/>
    <w:uiPriority w:val="99"/>
    <w:semiHidden/>
    <w:unhideWhenUsed/>
    <w:rsid w:val="002959A8"/>
    <w:rPr>
      <w:vertAlign w:val="superscript"/>
    </w:rPr>
  </w:style>
  <w:style w:type="paragraph" w:customStyle="1" w:styleId="Footer1">
    <w:name w:val="Footer1"/>
    <w:basedOn w:val="Normal"/>
    <w:next w:val="Footer"/>
    <w:link w:val="FooterChar"/>
    <w:uiPriority w:val="99"/>
    <w:unhideWhenUsed/>
    <w:rsid w:val="00B42C17"/>
    <w:pPr>
      <w:tabs>
        <w:tab w:val="center" w:pos="4680"/>
        <w:tab w:val="right" w:pos="9360"/>
      </w:tabs>
      <w:spacing w:after="0" w:line="240" w:lineRule="auto"/>
    </w:pPr>
    <w:rPr>
      <w:rFonts w:ascii="Arial" w:hAnsi="Arial"/>
    </w:rPr>
  </w:style>
  <w:style w:type="character" w:customStyle="1" w:styleId="FooterChar">
    <w:name w:val="Footer Char"/>
    <w:basedOn w:val="DefaultParagraphFont"/>
    <w:link w:val="Footer1"/>
    <w:uiPriority w:val="99"/>
    <w:rsid w:val="00B42C17"/>
    <w:rPr>
      <w:rFonts w:ascii="Arial" w:hAnsi="Arial"/>
    </w:rPr>
  </w:style>
  <w:style w:type="paragraph" w:styleId="Footer">
    <w:name w:val="footer"/>
    <w:basedOn w:val="Normal"/>
    <w:link w:val="FooterChar1"/>
    <w:uiPriority w:val="99"/>
    <w:unhideWhenUsed/>
    <w:rsid w:val="00B42C17"/>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B42C17"/>
  </w:style>
  <w:style w:type="paragraph" w:styleId="Header">
    <w:name w:val="header"/>
    <w:basedOn w:val="Normal"/>
    <w:link w:val="HeaderChar"/>
    <w:uiPriority w:val="99"/>
    <w:unhideWhenUsed/>
    <w:rsid w:val="00B42C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2C17"/>
  </w:style>
  <w:style w:type="table" w:styleId="TableGrid">
    <w:name w:val="Table Grid"/>
    <w:basedOn w:val="TableNormal"/>
    <w:uiPriority w:val="39"/>
    <w:rsid w:val="009B1A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6B4E73"/>
    <w:pPr>
      <w:spacing w:after="160"/>
    </w:pPr>
    <w:rPr>
      <w:rFonts w:asciiTheme="minorHAnsi" w:hAnsiTheme="minorHAnsi"/>
      <w:b/>
      <w:bCs/>
    </w:rPr>
  </w:style>
  <w:style w:type="character" w:customStyle="1" w:styleId="CommentSubjectChar">
    <w:name w:val="Comment Subject Char"/>
    <w:basedOn w:val="CommentTextChar"/>
    <w:link w:val="CommentSubject"/>
    <w:uiPriority w:val="99"/>
    <w:semiHidden/>
    <w:rsid w:val="006B4E73"/>
    <w:rPr>
      <w:rFonts w:ascii="Arial" w:hAnsi="Arial"/>
      <w:b/>
      <w:bCs/>
      <w:sz w:val="20"/>
      <w:szCs w:val="20"/>
    </w:rPr>
  </w:style>
  <w:style w:type="paragraph" w:styleId="TOCHeading">
    <w:name w:val="TOC Heading"/>
    <w:basedOn w:val="Heading1"/>
    <w:next w:val="Normal"/>
    <w:uiPriority w:val="39"/>
    <w:unhideWhenUsed/>
    <w:qFormat/>
    <w:rsid w:val="00274437"/>
    <w:pPr>
      <w:numPr>
        <w:numId w:val="0"/>
      </w:numPr>
      <w:spacing w:after="0"/>
      <w:outlineLvl w:val="9"/>
    </w:pPr>
    <w:rPr>
      <w:rFonts w:asciiTheme="majorHAnsi" w:hAnsiTheme="majorHAnsi"/>
      <w:b w:val="0"/>
      <w:caps w:val="0"/>
      <w:color w:val="2F5496" w:themeColor="accent1" w:themeShade="BF"/>
      <w:sz w:val="32"/>
      <w:szCs w:val="32"/>
    </w:rPr>
  </w:style>
  <w:style w:type="paragraph" w:styleId="TOC1">
    <w:name w:val="toc 1"/>
    <w:basedOn w:val="Normal"/>
    <w:next w:val="Normal"/>
    <w:autoRedefine/>
    <w:uiPriority w:val="39"/>
    <w:unhideWhenUsed/>
    <w:rsid w:val="00274437"/>
    <w:pPr>
      <w:spacing w:after="100"/>
    </w:pPr>
  </w:style>
  <w:style w:type="paragraph" w:styleId="TOC2">
    <w:name w:val="toc 2"/>
    <w:basedOn w:val="Normal"/>
    <w:next w:val="Normal"/>
    <w:autoRedefine/>
    <w:uiPriority w:val="39"/>
    <w:unhideWhenUsed/>
    <w:rsid w:val="00274437"/>
    <w:pPr>
      <w:spacing w:after="100"/>
      <w:ind w:left="220"/>
    </w:pPr>
  </w:style>
  <w:style w:type="paragraph" w:styleId="TOC3">
    <w:name w:val="toc 3"/>
    <w:basedOn w:val="Normal"/>
    <w:next w:val="Normal"/>
    <w:autoRedefine/>
    <w:uiPriority w:val="39"/>
    <w:unhideWhenUsed/>
    <w:rsid w:val="00274437"/>
    <w:pPr>
      <w:spacing w:after="100"/>
      <w:ind w:left="440"/>
    </w:pPr>
  </w:style>
  <w:style w:type="character" w:customStyle="1" w:styleId="Heading4Char">
    <w:name w:val="Heading 4 Char"/>
    <w:basedOn w:val="DefaultParagraphFont"/>
    <w:link w:val="Heading4"/>
    <w:uiPriority w:val="9"/>
    <w:rsid w:val="00CA5602"/>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1C1380"/>
    <w:rPr>
      <w:color w:val="605E5C"/>
      <w:shd w:val="clear" w:color="auto" w:fill="E1DFDD"/>
    </w:rPr>
  </w:style>
  <w:style w:type="character" w:styleId="FollowedHyperlink">
    <w:name w:val="FollowedHyperlink"/>
    <w:basedOn w:val="DefaultParagraphFont"/>
    <w:uiPriority w:val="99"/>
    <w:semiHidden/>
    <w:unhideWhenUsed/>
    <w:rsid w:val="002D127B"/>
    <w:rPr>
      <w:color w:val="954F72" w:themeColor="followedHyperlink"/>
      <w:u w:val="single"/>
    </w:rPr>
  </w:style>
  <w:style w:type="paragraph" w:customStyle="1" w:styleId="GMIHeading">
    <w:name w:val="GMI Heading"/>
    <w:basedOn w:val="Normal"/>
    <w:link w:val="GMIHeadingChar"/>
    <w:rsid w:val="00E448C4"/>
    <w:rPr>
      <w:rFonts w:ascii="Arial Nova" w:hAnsi="Arial Nova" w:cs="Arial"/>
      <w:b/>
      <w:color w:val="0A4990"/>
      <w:sz w:val="40"/>
    </w:rPr>
  </w:style>
  <w:style w:type="paragraph" w:customStyle="1" w:styleId="GMISub-Heading">
    <w:name w:val="GMI Sub-Heading"/>
    <w:link w:val="GMISub-HeadingChar"/>
    <w:rsid w:val="00E448C4"/>
    <w:rPr>
      <w:rFonts w:ascii="Arial Nova" w:hAnsi="Arial Nova" w:cs="Arial"/>
      <w:b/>
      <w:color w:val="0A4990"/>
      <w:sz w:val="24"/>
    </w:rPr>
  </w:style>
  <w:style w:type="character" w:customStyle="1" w:styleId="GMIHeadingChar">
    <w:name w:val="GMI Heading Char"/>
    <w:basedOn w:val="DefaultParagraphFont"/>
    <w:link w:val="GMIHeading"/>
    <w:rsid w:val="00E448C4"/>
    <w:rPr>
      <w:rFonts w:ascii="Arial Nova" w:hAnsi="Arial Nova" w:cs="Arial"/>
      <w:b/>
      <w:color w:val="0A4990"/>
      <w:sz w:val="40"/>
    </w:rPr>
  </w:style>
  <w:style w:type="paragraph" w:customStyle="1" w:styleId="GMIHeading1">
    <w:name w:val="GMI Heading 1"/>
    <w:link w:val="GMIHeading1Char"/>
    <w:autoRedefine/>
    <w:qFormat/>
    <w:rsid w:val="00FB7EA4"/>
    <w:rPr>
      <w:rFonts w:ascii="Arial Nova" w:eastAsiaTheme="majorEastAsia" w:hAnsi="Arial Nova" w:cstheme="majorBidi"/>
      <w:b/>
      <w:color w:val="0A4990"/>
      <w:sz w:val="40"/>
      <w:szCs w:val="40"/>
    </w:rPr>
  </w:style>
  <w:style w:type="character" w:customStyle="1" w:styleId="GMISub-HeadingChar">
    <w:name w:val="GMI Sub-Heading Char"/>
    <w:basedOn w:val="Heading2Char"/>
    <w:link w:val="GMISub-Heading"/>
    <w:rsid w:val="00E448C4"/>
    <w:rPr>
      <w:rFonts w:ascii="Arial Nova" w:eastAsiaTheme="majorEastAsia" w:hAnsi="Arial Nova" w:cs="Arial"/>
      <w:b/>
      <w:color w:val="0A4990"/>
      <w:sz w:val="24"/>
      <w:szCs w:val="32"/>
      <w:shd w:val="clear" w:color="auto" w:fill="2D5CA3"/>
    </w:rPr>
  </w:style>
  <w:style w:type="paragraph" w:customStyle="1" w:styleId="GMIHeading2">
    <w:name w:val="GMI Heading 2"/>
    <w:basedOn w:val="GMIHeading1"/>
    <w:next w:val="Normal"/>
    <w:link w:val="GMIHeading2Char"/>
    <w:autoRedefine/>
    <w:qFormat/>
    <w:rsid w:val="00FB7EA4"/>
    <w:rPr>
      <w:sz w:val="28"/>
    </w:rPr>
  </w:style>
  <w:style w:type="character" w:customStyle="1" w:styleId="GMIHeading1Char">
    <w:name w:val="GMI Heading 1 Char"/>
    <w:basedOn w:val="Heading1Char"/>
    <w:link w:val="GMIHeading1"/>
    <w:rsid w:val="00FB7EA4"/>
    <w:rPr>
      <w:rFonts w:ascii="Arial Nova" w:eastAsiaTheme="majorEastAsia" w:hAnsi="Arial Nova" w:cstheme="majorBidi"/>
      <w:b/>
      <w:caps w:val="0"/>
      <w:color w:val="0A4990"/>
      <w:sz w:val="40"/>
      <w:szCs w:val="40"/>
    </w:rPr>
  </w:style>
  <w:style w:type="paragraph" w:customStyle="1" w:styleId="GMIHeading3">
    <w:name w:val="GMI Heading 3"/>
    <w:basedOn w:val="GMIHeading2"/>
    <w:link w:val="GMIHeading3Char"/>
    <w:autoRedefine/>
    <w:qFormat/>
    <w:rsid w:val="0013671F"/>
    <w:rPr>
      <w:sz w:val="24"/>
    </w:rPr>
  </w:style>
  <w:style w:type="character" w:customStyle="1" w:styleId="GMIHeading2Char">
    <w:name w:val="GMI Heading 2 Char"/>
    <w:basedOn w:val="GMISub-HeadingChar"/>
    <w:link w:val="GMIHeading2"/>
    <w:rsid w:val="00FB7EA4"/>
    <w:rPr>
      <w:rFonts w:ascii="Arial Nova" w:eastAsiaTheme="majorEastAsia" w:hAnsi="Arial Nova" w:cstheme="majorBidi"/>
      <w:b/>
      <w:color w:val="0A4990"/>
      <w:sz w:val="28"/>
      <w:szCs w:val="40"/>
      <w:shd w:val="clear" w:color="auto" w:fill="2D5CA3"/>
    </w:rPr>
  </w:style>
  <w:style w:type="character" w:customStyle="1" w:styleId="GMIHeading3Char">
    <w:name w:val="GMI Heading 3 Char"/>
    <w:basedOn w:val="GMIHeading2Char"/>
    <w:link w:val="GMIHeading3"/>
    <w:rsid w:val="0013671F"/>
    <w:rPr>
      <w:rFonts w:ascii="Arial Nova" w:eastAsiaTheme="majorEastAsia" w:hAnsi="Arial Nova" w:cstheme="majorBidi"/>
      <w:b/>
      <w:color w:val="0A4990"/>
      <w:sz w:val="24"/>
      <w:szCs w:val="40"/>
      <w:shd w:val="clear" w:color="auto" w:fill="2D5CA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492543">
      <w:bodyDiv w:val="1"/>
      <w:marLeft w:val="0"/>
      <w:marRight w:val="0"/>
      <w:marTop w:val="0"/>
      <w:marBottom w:val="0"/>
      <w:divBdr>
        <w:top w:val="none" w:sz="0" w:space="0" w:color="auto"/>
        <w:left w:val="none" w:sz="0" w:space="0" w:color="auto"/>
        <w:bottom w:val="none" w:sz="0" w:space="0" w:color="auto"/>
        <w:right w:val="none" w:sz="0" w:space="0" w:color="auto"/>
      </w:divBdr>
    </w:div>
    <w:div w:id="1346708694">
      <w:bodyDiv w:val="1"/>
      <w:marLeft w:val="0"/>
      <w:marRight w:val="0"/>
      <w:marTop w:val="0"/>
      <w:marBottom w:val="0"/>
      <w:divBdr>
        <w:top w:val="none" w:sz="0" w:space="0" w:color="auto"/>
        <w:left w:val="none" w:sz="0" w:space="0" w:color="auto"/>
        <w:bottom w:val="none" w:sz="0" w:space="0" w:color="auto"/>
        <w:right w:val="none" w:sz="0" w:space="0" w:color="auto"/>
      </w:divBdr>
    </w:div>
    <w:div w:id="1390885351">
      <w:bodyDiv w:val="1"/>
      <w:marLeft w:val="0"/>
      <w:marRight w:val="0"/>
      <w:marTop w:val="0"/>
      <w:marBottom w:val="0"/>
      <w:divBdr>
        <w:top w:val="none" w:sz="0" w:space="0" w:color="auto"/>
        <w:left w:val="none" w:sz="0" w:space="0" w:color="auto"/>
        <w:bottom w:val="none" w:sz="0" w:space="0" w:color="auto"/>
        <w:right w:val="none" w:sz="0" w:space="0" w:color="auto"/>
      </w:divBdr>
      <w:divsChild>
        <w:div w:id="1011757465">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biogas-info.co.uk/about/digestat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data.worldbank.org/indicator/PA.NUS.PRVT.PP"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ompost.it/attachments/604_CIC_biogas_e_compost_2011_definitivo.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biocycle.net/2014/03/28/high-solids-anaerobic-digestion-composting-in-san-jose/" TargetMode="External"/><Relationship Id="rId20" Type="http://schemas.openxmlformats.org/officeDocument/2006/relationships/hyperlink" Target="https://archive.epa.gov/region9/organics/web/pdf/why-anaerobic-digestion.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www.endeco.it/wp/wp-content/uploads/2017/02/CatalogueAnaerobicDigestionPrinciples.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ampus.extension.org/pluginfile.php/48384/course/section/7167/NRAES%20FarmCompost%20manual%201992.pdf" TargetMode="External"/><Relationship Id="rId27" Type="http://schemas.openxmlformats.org/officeDocument/2006/relationships/footer" Target="footer3.xml"/><Relationship Id="rId9" Type="http://schemas.openxmlformats.org/officeDocument/2006/relationships/webSettings" Target="webSettings.xml"/><Relationship Id="rId14" Type="http://schemas.openxmlformats.org/officeDocument/2006/relationships/hyperlink" Target="https://www.eea.europa.eu/publications/topic_report_2001_15_Part3"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5B74281A7CE7429B78075E9E746D16" ma:contentTypeVersion="13" ma:contentTypeDescription="Create a new document." ma:contentTypeScope="" ma:versionID="04a028ed4f77b6b7eea6ff52df4b30a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260071a-d966-4c0e-9d5d-078c3dd9e145" xmlns:ns6="b39f5709-1a81-4a8f-9e4f-78efd8cb472e" targetNamespace="http://schemas.microsoft.com/office/2006/metadata/properties" ma:root="true" ma:fieldsID="7772262d57002cfead2372363734b7fd" ns1:_="" ns2:_="" ns3:_="" ns4:_="" ns5:_="" ns6:_="">
    <xsd:import namespace="http://schemas.microsoft.com/sharepoint/v3"/>
    <xsd:import namespace="4ffa91fb-a0ff-4ac5-b2db-65c790d184a4"/>
    <xsd:import namespace="http://schemas.microsoft.com/sharepoint.v3"/>
    <xsd:import namespace="http://schemas.microsoft.com/sharepoint/v3/fields"/>
    <xsd:import namespace="a260071a-d966-4c0e-9d5d-078c3dd9e145"/>
    <xsd:import namespace="b39f5709-1a81-4a8f-9e4f-78efd8cb472e"/>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5:MediaServiceDateTaken" minOccurs="0"/>
                <xsd:element ref="ns5:MediaServiceAutoTags" minOccurs="0"/>
                <xsd:element ref="ns5:MediaServiceGenerationTime" minOccurs="0"/>
                <xsd:element ref="ns5:MediaServiceEventHashCode" minOccurs="0"/>
                <xsd:element ref="ns5:MediaServiceLocation" minOccurs="0"/>
                <xsd:element ref="ns5:MediaServiceOCR"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09757562-274f-4c3d-9fe9-dfbf5c77a745}" ma:internalName="TaxCatchAllLabel" ma:readOnly="true" ma:showField="CatchAllDataLabel" ma:web="b39f5709-1a81-4a8f-9e4f-78efd8cb472e">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09757562-274f-4c3d-9fe9-dfbf5c77a745}" ma:internalName="TaxCatchAll" ma:showField="CatchAllData" ma:web="b39f5709-1a81-4a8f-9e4f-78efd8cb472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60071a-d966-4c0e-9d5d-078c3dd9e14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Location" ma:index="38" nillable="true" ma:displayName="Location" ma:internalName="MediaServiceLocation"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LengthInSeconds" ma:index="4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9f5709-1a81-4a8f-9e4f-78efd8cb472e"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DBC7830CC2415418330336954FB7A0A" ma:contentTypeVersion="13" ma:contentTypeDescription="Create a new document." ma:contentTypeScope="" ma:versionID="1262cee792f33119b6fa015427756ce0">
  <xsd:schema xmlns:xsd="http://www.w3.org/2001/XMLSchema" xmlns:xs="http://www.w3.org/2001/XMLSchema" xmlns:p="http://schemas.microsoft.com/office/2006/metadata/properties" xmlns:ns2="3952fcee-fcf1-4f25-a995-f1e11e05f79a" xmlns:ns3="3884e6e2-1320-44ab-aaea-1c669c225d9a" targetNamespace="http://schemas.microsoft.com/office/2006/metadata/properties" ma:root="true" ma:fieldsID="091f577ac46a88bde12dbde63df46265" ns2:_="" ns3:_="">
    <xsd:import namespace="3952fcee-fcf1-4f25-a995-f1e11e05f79a"/>
    <xsd:import namespace="3884e6e2-1320-44ab-aaea-1c669c225d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2fcee-fcf1-4f25-a995-f1e11e05f7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4e6e2-1320-44ab-aaea-1c669c225d9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4AF755-439B-4137-B8E4-23DC8C5CD3BE}">
  <ds:schemaRefs>
    <ds:schemaRef ds:uri="http://www.w3.org/XML/1998/namespace"/>
    <ds:schemaRef ds:uri="http://schemas.microsoft.com/sharepoint.v3"/>
    <ds:schemaRef ds:uri="b39f5709-1a81-4a8f-9e4f-78efd8cb472e"/>
    <ds:schemaRef ds:uri="http://purl.org/dc/elements/1.1/"/>
    <ds:schemaRef ds:uri="http://schemas.microsoft.com/sharepoint/v3"/>
    <ds:schemaRef ds:uri="http://schemas.microsoft.com/office/2006/metadata/properties"/>
    <ds:schemaRef ds:uri="http://schemas.microsoft.com/office/2006/documentManagement/types"/>
    <ds:schemaRef ds:uri="4ffa91fb-a0ff-4ac5-b2db-65c790d184a4"/>
    <ds:schemaRef ds:uri="http://schemas.microsoft.com/sharepoint/v3/fields"/>
    <ds:schemaRef ds:uri="http://schemas.microsoft.com/office/infopath/2007/PartnerControls"/>
    <ds:schemaRef ds:uri="http://schemas.openxmlformats.org/package/2006/metadata/core-properties"/>
    <ds:schemaRef ds:uri="a260071a-d966-4c0e-9d5d-078c3dd9e145"/>
    <ds:schemaRef ds:uri="http://purl.org/dc/dcmitype/"/>
    <ds:schemaRef ds:uri="http://purl.org/dc/terms/"/>
  </ds:schemaRefs>
</ds:datastoreItem>
</file>

<file path=customXml/itemProps2.xml><?xml version="1.0" encoding="utf-8"?>
<ds:datastoreItem xmlns:ds="http://schemas.openxmlformats.org/officeDocument/2006/customXml" ds:itemID="{BA94A025-E7F9-4DE5-8C47-72A4D99CA40B}">
  <ds:schemaRefs>
    <ds:schemaRef ds:uri="http://schemas.openxmlformats.org/officeDocument/2006/bibliography"/>
  </ds:schemaRefs>
</ds:datastoreItem>
</file>

<file path=customXml/itemProps3.xml><?xml version="1.0" encoding="utf-8"?>
<ds:datastoreItem xmlns:ds="http://schemas.openxmlformats.org/officeDocument/2006/customXml" ds:itemID="{3D751B72-8452-4460-8332-7CE0D6CA5D7D}">
  <ds:schemaRefs>
    <ds:schemaRef ds:uri="http://schemas.microsoft.com/sharepoint/v3/contenttype/forms"/>
  </ds:schemaRefs>
</ds:datastoreItem>
</file>

<file path=customXml/itemProps4.xml><?xml version="1.0" encoding="utf-8"?>
<ds:datastoreItem xmlns:ds="http://schemas.openxmlformats.org/officeDocument/2006/customXml" ds:itemID="{5EA63E70-3203-4527-B843-F7324EC526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260071a-d966-4c0e-9d5d-078c3dd9e145"/>
    <ds:schemaRef ds:uri="b39f5709-1a81-4a8f-9e4f-78efd8cb4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5E91857-83FE-49D1-A1F4-DF95FE4525F3}"/>
</file>

<file path=docProps/app.xml><?xml version="1.0" encoding="utf-8"?>
<Properties xmlns="http://schemas.openxmlformats.org/officeDocument/2006/extended-properties" xmlns:vt="http://schemas.openxmlformats.org/officeDocument/2006/docPropsVTypes">
  <Template>Normal.dotm</Template>
  <TotalTime>1</TotalTime>
  <Pages>20</Pages>
  <Words>6440</Words>
  <Characters>36713</Characters>
  <Application>Microsoft Office Word</Application>
  <DocSecurity>0</DocSecurity>
  <Lines>305</Lines>
  <Paragraphs>86</Paragraphs>
  <ScaleCrop>false</ScaleCrop>
  <Company/>
  <LinksUpToDate>false</LinksUpToDate>
  <CharactersWithSpaces>43067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Gao</dc:creator>
  <cp:keywords/>
  <dc:description/>
  <cp:lastModifiedBy>Benjamin Matek</cp:lastModifiedBy>
  <cp:revision>2</cp:revision>
  <dcterms:created xsi:type="dcterms:W3CDTF">2021-12-13T20:24:00Z</dcterms:created>
  <dcterms:modified xsi:type="dcterms:W3CDTF">2021-12-13T20:24:00Z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0x010100ADBC7830CC2415418330336954FB7A0A</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